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исполняющего обязанности Министра туризма и спорта Республики Казахстан от 9 октября 2024 года № 175 "Об утверждении Типовых правил работы игорного заведения, букмекерской конторы или тотализатора, приема ставок и проводимых азартных игр и (или) пари"</w:t>
      </w:r>
    </w:p>
    <w:p>
      <w:r>
        <w:t xml:space="preserve">Приказ, Изменения. Министерство туризма и спорта Республики Казахстан (Образован Указом Президента РК от 01.09.2023 г. № 318). от 21.07.2026. № 228054. редакция от 21.07.2026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туризма и спорта Республики Казахстан от 9 октября 2024 года № 175 "Об утверждении Типовых правил работы игорного заведения, букмекерской конторы или тотализатора, приема ставок и проводимых азартных игр и (или) пари" (зарегистрирован в Реестре государственной регистрации нормативных правовых актов под № 35240) следующие изменения:</w:t>
      </w:r>
    </w:p>
    <w:p>
      <w:r>
        <w:t xml:space="preserve">в Типовых правилах работы игорного заведения, букмекерской конторы или тотализатора, приема ставок и проводимых азартных игр и (или) пари, утвержденных указанным приказом:</w:t>
      </w:r>
    </w:p>
    <w:p>
      <w:r>
        <w:t xml:space="preserve">пункты 9 и 10 изложить в следующей редакции:</w:t>
      </w:r>
    </w:p>
    <w:p>
      <w:r>
        <w:t xml:space="preserve">"9. Организаторы игорного бизнеса, осуществляющие деятельность казино, зала игровых автоматов, обеспечивают идентификацию участника азартной игры путем внесения данных, указанных в документе, удостоверяющем личность физического лица, в форму регистрации участника азартной игры (далее – форма регистрации), определяемую организатором игорного бизнеса, осуществляющим деятельность казино, зала игровых автоматов, в Правилах работы игорного заведения, приема ставок и проводимых азартных игр.</w:t>
      </w:r>
    </w:p>
    <w:p>
      <w:r>
        <w:t xml:space="preserve">Форма регистрации представляет собой документ в бумажном и (или) файл в электронном виде, который заполняется для идентификации участника азартной игры и позволяет зарегистрироваться соответствующему физическому лицу в игорном заведении.</w:t>
      </w:r>
    </w:p>
    <w:p>
      <w:r>
        <w:t xml:space="preserve">В форме регистрации для физического лица указываются:</w:t>
      </w:r>
    </w:p>
    <w:p>
      <w:pPr>
        <w:pStyle w:val="Heading2"/>
      </w:pPr>
      <w:r>
        <w:t xml:space="preserve">Подпункт 1</w:t>
      </w:r>
    </w:p>
    <w:p>
      <w:r>
        <w:t xml:space="preserve">1) фамилия, имя, отчество (при его наличии);</w:t>
      </w:r>
    </w:p>
    <w:p>
      <w:pPr>
        <w:pStyle w:val="Heading2"/>
      </w:pPr>
      <w:r>
        <w:t xml:space="preserve">Подпункт 2</w:t>
      </w:r>
    </w:p>
    <w:p>
      <w:r>
        <w:t xml:space="preserve">2) гражданство;</w:t>
      </w:r>
    </w:p>
    <w:p>
      <w:pPr>
        <w:pStyle w:val="Heading2"/>
      </w:pPr>
      <w:r>
        <w:t xml:space="preserve">Подпункт 3</w:t>
      </w:r>
    </w:p>
    <w:p>
      <w:r>
        <w:t xml:space="preserve">3) индивидуальный идентификационный номер (для гражданина Республики Казахстан);</w:t>
      </w:r>
    </w:p>
    <w:p>
      <w:pPr>
        <w:pStyle w:val="Heading2"/>
      </w:pPr>
      <w:r>
        <w:t xml:space="preserve">Подпункт 4</w:t>
      </w:r>
    </w:p>
    <w:p>
      <w:r>
        <w:t xml:space="preserve">4) индивидуальный идентификационный номер, указанный в виде на жительство иностранного гражданина в Республике Казахстан, или номер заграничного паспорта (для иностранного гражданина);</w:t>
      </w:r>
    </w:p>
    <w:p>
      <w:pPr>
        <w:pStyle w:val="Heading2"/>
      </w:pPr>
      <w:r>
        <w:t xml:space="preserve">Подпункт 5</w:t>
      </w:r>
    </w:p>
    <w:p>
      <w:r>
        <w:t xml:space="preserve">5) индивидуальный идентификационный номер, указанный в удостоверении лица без гражданства (для лица без гражданства);</w:t>
      </w:r>
    </w:p>
    <w:p>
      <w:pPr>
        <w:pStyle w:val="Heading2"/>
      </w:pPr>
      <w:r>
        <w:t xml:space="preserve">Подпункт 6</w:t>
      </w:r>
    </w:p>
    <w:p>
      <w:r>
        <w:t xml:space="preserve">6) дата рождения;</w:t>
      </w:r>
    </w:p>
    <w:p>
      <w:pPr>
        <w:pStyle w:val="Heading2"/>
      </w:pPr>
      <w:r>
        <w:t xml:space="preserve">Подпункт 7</w:t>
      </w:r>
    </w:p>
    <w:p>
      <w:r>
        <w:t xml:space="preserve">7) род деятельности, место работы (при наличии);</w:t>
      </w:r>
    </w:p>
    <w:p>
      <w:pPr>
        <w:pStyle w:val="Heading2"/>
      </w:pPr>
      <w:r>
        <w:t xml:space="preserve">Подпункт 8</w:t>
      </w:r>
    </w:p>
    <w:p>
      <w:r>
        <w:t xml:space="preserve">8) личный абонентский номер сотовой связи;</w:t>
      </w:r>
    </w:p>
    <w:p>
      <w:pPr>
        <w:pStyle w:val="Heading2"/>
      </w:pPr>
      <w:r>
        <w:t xml:space="preserve">Подпункт 9</w:t>
      </w:r>
    </w:p>
    <w:p>
      <w:r>
        <w:t xml:space="preserve">9) банковский счет, принадлежащий физическому лицу.</w:t>
      </w:r>
    </w:p>
    <w:p>
      <w:pPr>
        <w:pStyle w:val="Heading2"/>
      </w:pPr>
      <w:r>
        <w:t xml:space="preserve">Пункт 10</w:t>
      </w:r>
    </w:p>
    <w:p>
      <w:r>
        <w:t xml:space="preserve">10. Организаторы игорного бизнеса, осуществляющие деятельность казино, зала игровых автоматов, отказывают в допуске к участию в азартных играх физическим лицам, которым установлен запрет на участие в азартных играх в соответствии с пунктом 1 статьи 15 Закона.";</w:t>
      </w:r>
    </w:p>
    <w:p>
      <w:r>
        <w:t xml:space="preserve">пункты 27 , 28 и 29 изложить в следующей редакции:</w:t>
      </w:r>
    </w:p>
    <w:p>
      <w:r>
        <w:t xml:space="preserve">"27. Организатор игорного бизнеса, осуществляющий деятельность букмекерской конторы или тотализатора, до принятия ставки производит регистрацию участника пари посредством аппаратно-программного комплекса путем открытия аккаунта, в том числе в ЕСУ, с внесением следующих данных:</w:t>
      </w:r>
    </w:p>
    <w:p>
      <w:pPr>
        <w:pStyle w:val="Heading2"/>
      </w:pPr>
      <w:r>
        <w:t xml:space="preserve">Подпункт 1</w:t>
      </w:r>
    </w:p>
    <w:p>
      <w:r>
        <w:t xml:space="preserve">1) фамилия, имя, отчество (при его наличии);</w:t>
      </w:r>
    </w:p>
    <w:p>
      <w:pPr>
        <w:pStyle w:val="Heading2"/>
      </w:pPr>
      <w:r>
        <w:t xml:space="preserve">Подпункт 2</w:t>
      </w:r>
    </w:p>
    <w:p>
      <w:r>
        <w:t xml:space="preserve">2) гражданство;</w:t>
      </w:r>
    </w:p>
    <w:p>
      <w:pPr>
        <w:pStyle w:val="Heading2"/>
      </w:pPr>
      <w:r>
        <w:t xml:space="preserve">Подпункт 3</w:t>
      </w:r>
    </w:p>
    <w:p>
      <w:r>
        <w:t xml:space="preserve">3) индивидуальный идентификационный номер (для гражданина Республики Казахстан);</w:t>
      </w:r>
    </w:p>
    <w:p>
      <w:pPr>
        <w:pStyle w:val="Heading2"/>
      </w:pPr>
      <w:r>
        <w:t xml:space="preserve">Подпункт 4</w:t>
      </w:r>
    </w:p>
    <w:p>
      <w:r>
        <w:t xml:space="preserve">4) индивидуальный идентификационный номер, указанный в виде на жительство иностранного гражданина в Республике Казахстан или номер заграничного паспорта (для иностранного гражданина);</w:t>
      </w:r>
    </w:p>
    <w:p>
      <w:pPr>
        <w:pStyle w:val="Heading2"/>
      </w:pPr>
      <w:r>
        <w:t xml:space="preserve">Подпункт 5</w:t>
      </w:r>
    </w:p>
    <w:p>
      <w:r>
        <w:t xml:space="preserve">5) индивидуальный идентификационный номер, указанный в удостоверении лица без гражданства (для лица без гражданства);</w:t>
      </w:r>
    </w:p>
    <w:p>
      <w:pPr>
        <w:pStyle w:val="Heading2"/>
      </w:pPr>
      <w:r>
        <w:t xml:space="preserve">Подпункт 6</w:t>
      </w:r>
    </w:p>
    <w:p>
      <w:r>
        <w:t xml:space="preserve">6) дата рождения;</w:t>
      </w:r>
    </w:p>
    <w:p>
      <w:pPr>
        <w:pStyle w:val="Heading2"/>
      </w:pPr>
      <w:r>
        <w:t xml:space="preserve">Подпункт 7</w:t>
      </w:r>
    </w:p>
    <w:p>
      <w:r>
        <w:t xml:space="preserve">7) род деятельности, место работы (при наличии);</w:t>
      </w:r>
    </w:p>
    <w:p>
      <w:pPr>
        <w:pStyle w:val="Heading2"/>
      </w:pPr>
      <w:r>
        <w:t xml:space="preserve">Подпункт 8</w:t>
      </w:r>
    </w:p>
    <w:p>
      <w:r>
        <w:t xml:space="preserve">8) личный абонентский номер сотовой связи;</w:t>
      </w:r>
    </w:p>
    <w:p>
      <w:pPr>
        <w:pStyle w:val="Heading2"/>
      </w:pPr>
      <w:r>
        <w:t xml:space="preserve">Подпункт 9</w:t>
      </w:r>
    </w:p>
    <w:p>
      <w:r>
        <w:t xml:space="preserve">9) банковский счет, принадлежащий физическому лицу;</w:t>
      </w:r>
    </w:p>
    <w:p>
      <w:pPr>
        <w:pStyle w:val="Heading2"/>
      </w:pPr>
      <w:r>
        <w:t xml:space="preserve">Подпункт 10</w:t>
      </w:r>
    </w:p>
    <w:p>
      <w:r>
        <w:t xml:space="preserve">10) уникальный идентификатор в ЕСУ.</w:t>
      </w:r>
    </w:p>
    <w:p>
      <w:r>
        <w:t xml:space="preserve">Уникальный идентификатор ЕСУ присваивается после прохождении регистрации и идентификации участника пари в ЕСУ.</w:t>
      </w:r>
    </w:p>
    <w:p>
      <w:r>
        <w:t xml:space="preserve">Участнику пари присваивается один уникальный идентификатор в ЕСУ для организатора игорного бизнеса, осуществляющего деятельность букмекерской конторы и (или) тотализатора. Для одного участника пари открывается один или несколько электронных кошельков в системе электронных денег ЕСУ. При этом, для расчетов участника пари с организатором игорного бизнеса, осуществляющим деятельность букмекерской конторы и (или) тотализатора, используется только один электронный кошелек в системе электронных денег ЕСУ.</w:t>
      </w:r>
    </w:p>
    <w:p>
      <w:pPr>
        <w:pStyle w:val="Heading2"/>
      </w:pPr>
      <w:r>
        <w:t xml:space="preserve">Пункт 28</w:t>
      </w:r>
    </w:p>
    <w:p>
      <w:r>
        <w:t xml:space="preserve">28. Организаторы игорного бизнеса, осуществляющие деятельность букмекерской конторы или тотализатора, при регистрации участника пари осуществляют идентификацию участника пари путем направления текстового сообщения с кодом подтверждения на абонентский номер сотовой связи участника пари, указанный при регистрации.</w:t>
      </w:r>
    </w:p>
    <w:p>
      <w:r>
        <w:t xml:space="preserve">Организаторы игорного бизнеса, осуществляющие деятельность букмекерской конторы или тотализатора, при входе участника пари на свой аккаунт осуществляют идентификацию участника пари путем направления текстового сообщения с кодом подтверждения на абонентский номер сотовой связи участника пари, указанный при регистрации или путем направления текстового сообщения с кодом подтверждения посредством сервиса обмена мгновенными сообщениями, привязанного к абонентскому номеру сотовой связи участника пари, указанному при регистрации.</w:t>
      </w:r>
    </w:p>
    <w:p>
      <w:pPr>
        <w:pStyle w:val="Heading2"/>
      </w:pPr>
      <w:r>
        <w:t xml:space="preserve">Пункт 29</w:t>
      </w:r>
    </w:p>
    <w:p>
      <w:r>
        <w:t xml:space="preserve">29. Организаторы игорного бизнеса, осуществляющие деятельность букмекерской конторы или тотализатора, отказывают в допуске к участию в пари физическим лицам, которым установлен запрет на участие в пари в соответствии с пунктом 1 статьи 15 Закона.".</w:t>
      </w:r>
    </w:p>
    <w:p>
      <w:pPr>
        <w:pStyle w:val="Heading2"/>
      </w:pPr>
      <w:r>
        <w:t xml:space="preserve">Пункт 2</w:t>
      </w:r>
    </w:p>
    <w:p>
      <w:r>
        <w:t xml:space="preserve">2. Комитету по регулированию игорного бизнеса и лотереи Министерства туризма и спорта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туризма и спорта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трех рабочих дней после исполнения подпунктов 1) и 2) настоящего пункта обеспечить предоставление информации об исполнении в Департамент юридической службы Министерства туризма и спорта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заместителя министра туризма и спорта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опубликования, за исключением абзацев шестнадцатого и тридцать третьего пункта 1 настоящего приказа, которые вводятся в действие с 12 августа 2026 года.</w:t>
      </w:r>
    </w:p>
    <w:p>
      <w:r>
        <w:t xml:space="preserve">| Министр туризма и спорта Республики Казахстан | Е. Мырзабосынов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