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приказы Министра национальной экономики Республики Казахстан от 30 ноября 2015 года № 748 "Об утверждении Правил проведения и использования анализа регуляторного воздействия" и от 13 мая 2019 года № 37 "Об утверждении Правил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08.07.2026. № 227531. редакция от 08.07.2026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30 ноября 2015 года № 748 "Об утверждении Правил проведения и использования анализа регуляторного воздействия" (зарегистрирован в Реестре государственной регистрации нормативных правовых актов за № 12517) следующие изменения:</w:t>
      </w:r>
    </w:p>
    <w:p>
      <w:r>
        <w:t xml:space="preserve">в Правилах проведения и использования анализа регуляторного воздействия, утвержденных указанным приказом:</w:t>
      </w:r>
    </w:p>
    <w:p>
      <w:r>
        <w:t xml:space="preserve">в пункте 2 :</w:t>
      </w:r>
    </w:p>
    <w:p>
      <w:r>
        <w:t xml:space="preserve">подпункт 2) изложить в следующей редакции:</w:t>
      </w:r>
    </w:p>
    <w:p>
      <w:r>
        <w:t xml:space="preserve">"2) управление предпринимательства – местный исполнительный орган столицы, области, города республиканского значения, осуществляющий руководство в сфере предпринимательства;";</w:t>
      </w:r>
    </w:p>
    <w:p>
      <w:r>
        <w:t xml:space="preserve">подпункт 6) изложить в следующей редакции:</w:t>
      </w:r>
    </w:p>
    <w:p>
      <w:r>
        <w:t xml:space="preserve">"6) региональная палата предпринимателей – палата предпринимателей столицы, области, города республиканского значения, и входящая в систему Национальной палаты предпринимателей Республики Казахстан, на территориальном уровне (далее – Региональная палата);":</w:t>
      </w:r>
    </w:p>
    <w:p>
      <w:r>
        <w:t xml:space="preserve">пункты 3 и 4 изложить в следующей редакции:</w:t>
      </w:r>
    </w:p>
    <w:p>
      <w:r>
        <w:t xml:space="preserve">"3. Анализу регуляторного воздействия подлежат проекты документов Системы государственного планирования в Республике Казахстан, проекты нормативных правовых актов Республики Казахстан, проекты технических регламентов Евразийского экономического союза, предусматривающих введение регуляторного инструмента и (или) требований или ужесточение регулирования в отношении субъектов предпринимательства, за исключением случаев, предусмотренных частью второй пункта 3 статьи 82 Кодекса.</w:t>
      </w:r>
    </w:p>
    <w:p>
      <w:r>
        <w:t xml:space="preserve">Требования о проведении анализа регуляторного воздействия при введении нового регуляторного инструмента и (или) требования или ужесточении регулирования в отношении субъектов предпринимательства также не распространяются на проекты законов, разработанные в порядке законодательной инициативы Президента и депутатов Курултая Республики Казахстан, а также на процесс рассмотрения проектов законов в Курултае Республики Казахстан.</w:t>
      </w:r>
    </w:p>
    <w:p>
      <w:r>
        <w:t xml:space="preserve">По проектам законов, внесенным в порядке законодательной инициативы депутатов Курултая Республики Казахстан, а также по поправкам депутатов к проектам законов, находящимся на рассмотрении в Курултае Республики Казахстан, может быть проведен анализ регуляторного воздействия по основаниям, установленным статьей 82 Кодекса, в рамках заключения Правительства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Введение нового регуляторного инструмента и (или) требования или ужесточение регулирования в отношении субъектов предпринимательства осуществляется только после одобрения на заседании межведомственной комиссии по вопросам регулирования предпринимательской деятельности при Правительстве Республики Казахстан (далее – Межведомственная комиссия).</w:t>
      </w:r>
    </w:p>
    <w:p>
      <w:r>
        <w:t xml:space="preserve">Требования части первой настоящего пункта не распространяются на государственное регулирование предпринимательства в области финансового, налогового и таможенного законодательства Республики Казахстан, деятельности финансовых организаций, филиалов банков – нерезидентов Республики Казахстан, филиалов страховых (перестраховочных) организаций – нерезидентов Республики Казахстан, филиалов страховых брокеров – нерезидентов Республики Казахстан и лиц, входящих в состав страховых групп и банковских конгломератов, на проекты нормативных правовых актов Национального Банка Республики Казахстан и уполномоченного органа по регулированию, контролю и надзору финансового рынка и финансовых организаций, а также на международные договоры, ратифицированные Республикой Казахстан, и на регуляторные инструменты и (или) требования международных договоров, имплементированные или планируемые к имплементированию в законодательство Республики Казахстан.</w:t>
      </w:r>
    </w:p>
    <w:p>
      <w:r>
        <w:t xml:space="preserve">При этом, новые регуляторные инструменты и (или) требования или ужесточение регулирования, вводятся актами регионального значения, только после одобрения консультативно-совещательного органа при акимате столицы, области, городов республиканского значения по вопросам межведомственного характера, образуемого в соответствии с Законом Республики Казахстан "О местном государственном управлении и самоуправлении в Республике Казахстан" (далее – Региональная комиссия).";</w:t>
      </w:r>
    </w:p>
    <w:p>
      <w:r>
        <w:t xml:space="preserve">пункт 11 изложить в следующей редакции:</w:t>
      </w:r>
    </w:p>
    <w:p>
      <w:r>
        <w:t xml:space="preserve">"11. План пересмотра регуляторных инструментов и (или) требований республиканского значения на предстоящий год формируется по форме согласно приложению 5 к настоящим Правилам, утверждается ежегодно до 20 декабря и размещается на официальном интернет-ресурсе государственного органа.</w:t>
      </w:r>
    </w:p>
    <w:p>
      <w:r>
        <w:t xml:space="preserve">План пересмотра регуляторных инструментов и (или) требований регионального значения утверждается местным исполнительным органом столицы, области, городов республиканского значения и размещается на интернет-ресурсе управления предпринимательства в соответствии с частью третьей пункта 2 статьи 83 Кодекса.";</w:t>
      </w:r>
    </w:p>
    <w:p>
      <w:r>
        <w:t xml:space="preserve">пункт 20 изложить в следующей редакции:</w:t>
      </w:r>
    </w:p>
    <w:p>
      <w:r>
        <w:t xml:space="preserve">"20. Для проведения общественных обсуждений регулирующий государственный орган/орган-разработчик не менее чем за 10 (десять) рабочих дней, а по проектам законов Республики Казахстан, инициированных депутатами Курултая Республики Казахстан, или находящихся на рассмотрении в Курултае Республики Казахстан, а также по анализам регуляторного воздействия, проведенного по прямому поручению Президента о введении определенного регуляторного инструмента или требования, либо ужесточении определенного требования в отношении субъектов предпринимательства на ходатайство Премьер-Министра Республики Казахстан (далее – прямое поручение Президента) и в порядке альтернативы, не менее чем за 2 (два) рабочих дня, до даты их проведения, извещают о дате и времени начала и окончания их проведения:</w:t>
      </w:r>
    </w:p>
    <w:p>
      <w:r>
        <w:t xml:space="preserve">заинтересованных лиц – посредством дачи объявления на своем официальном интернет-ресурсе;</w:t>
      </w:r>
    </w:p>
    <w:p>
      <w:r>
        <w:t xml:space="preserve">уполномоченный орган, Национальную палату предпринимателей/региональную палату предпринимателей, членов общественных советов, экспертных советов при государственных органах; заинтересованные государственные органы – посредством письменного уведомления;</w:t>
      </w:r>
    </w:p>
    <w:p>
      <w:r>
        <w:t xml:space="preserve">средства массовой информации – посредством пресс-релизов.";</w:t>
      </w:r>
    </w:p>
    <w:p>
      <w:r>
        <w:t xml:space="preserve">пункт 22 изложить в следующей редакции:</w:t>
      </w:r>
    </w:p>
    <w:p>
      <w:r>
        <w:t xml:space="preserve">"22. Уполномоченный орган в течение 10 (десяти) рабочих дней со дня поступления аналитической формы и проектов документов, предусмотренных пунктом 3 настоящих Правил, рассматривает их на предмет соблюдения процедур анализа регуляторного воздействия в соответствии с пунктом 6 настоящих Правил, и правильности их заполнения за исключением случаев, предусмотренных частью второй настоящего пункта.</w:t>
      </w:r>
    </w:p>
    <w:p>
      <w:r>
        <w:t xml:space="preserve">Аналитическая форма на введение определенного регуляторного инструмента или требования, либо ужесточение определенного требования, разработанные по прямому поручению Президента, рассматривается уполномоченным органом в течение 5 (пяти) рабочих дней со дня их поступления, а по проектам законов Республики Казахстан, инициированных депутатами Курултая Республики Казахстан, или находящихся на рассмотрении в Курултае Республики Казахстан – в течение 7 (семи) рабочих дней.</w:t>
      </w:r>
    </w:p>
    <w:p>
      <w:r>
        <w:t xml:space="preserve">По результатам рассмотрения формируется заключение о соблюдении процедур анализа регуляторного воздействия (далее – заключение) по форме согласно приложению 7 к настоящим Правилам.";</w:t>
      </w:r>
    </w:p>
    <w:p>
      <w:r>
        <w:t xml:space="preserve">в разделе Пояснение по заполнению оценки соответствия условиям формирования регуляторных инструментов и (или) требований Приложения 2 к Правилам:</w:t>
      </w:r>
    </w:p>
    <w:p>
      <w:r>
        <w:t xml:space="preserve">пункт 6 изложить в следующей редакции:</w:t>
      </w:r>
    </w:p>
    <w:p>
      <w:r>
        <w:t xml:space="preserve">"6. Оценка соответствия регуляторного инструмента и (или) требования "Соразмерности и Рациональности":</w:t>
      </w:r>
    </w:p>
    <w:p>
      <w:r>
        <w:t xml:space="preserve">Справочно: согласно пункту 2 статьи 81-1 Кодекса:</w:t>
      </w:r>
    </w:p>
    <w:p>
      <w:r>
        <w:t xml:space="preserve">"под соразмерностью и рациональностью понимается соответствие уровня воздействия государственного регулирования предпринимательства степени риска наступления неблагоприятных событий для охраняемых Конституцией и законами Республики Казахстан ценностей".</w:t>
      </w:r>
    </w:p>
    <w:p>
      <w:r>
        <w:t xml:space="preserve">Оценка данного условия требует от государственного органа проведения определенных расчетов в комплексе с анализом:</w:t>
      </w:r>
    </w:p>
    <w:p>
      <w:pPr>
        <w:pStyle w:val="Heading2"/>
      </w:pPr>
      <w:r>
        <w:t xml:space="preserve">Подпункт 1</w:t>
      </w:r>
    </w:p>
    <w:p>
      <w:r>
        <w:t xml:space="preserve">1) расчет администрирования исполнения пересматриваемого регуляторного инструмента и (или) требования:</w:t>
      </w:r>
    </w:p>
    <w:p>
      <w:r>
        <w:t xml:space="preserve">С= ФЗП\365 х Т</w:t>
      </w:r>
    </w:p>
    <w:p>
      <w:r>
        <w:t xml:space="preserve">ФЗП – годовой фонд заработной платы с учетом налогов госслужащих, осуществляющих контрольные функции, млн. теңге;</w:t>
      </w:r>
    </w:p>
    <w:p>
      <w:r>
        <w:t xml:space="preserve">Т – продолжительность контрольных мероприятий, в днях;</w:t>
      </w:r>
    </w:p>
    <w:p>
      <w:r>
        <w:t xml:space="preserve">С – затраты на администрирование пересматриваемого регуляторного инструмента и (или) требования, млн. теңге;</w:t>
      </w:r>
    </w:p>
    <w:p>
      <w:pPr>
        <w:pStyle w:val="Heading2"/>
      </w:pPr>
      <w:r>
        <w:t xml:space="preserve">Подпункт 2</w:t>
      </w:r>
    </w:p>
    <w:p>
      <w:r>
        <w:t xml:space="preserve">2) расчет затрат бизнеса на приведение в соответствие бизнеса в связи с пересматриваемым регуляторным инструментом и(или) требованием:</w:t>
      </w:r>
    </w:p>
    <w:p>
      <w:r>
        <w:t xml:space="preserve">З = М + (ФЗП\365 х Т)</w:t>
      </w:r>
    </w:p>
    <w:p>
      <w:r>
        <w:t xml:space="preserve">М – объем материальных затрат для приведения в соответствие, млн. теңге;</w:t>
      </w:r>
    </w:p>
    <w:p>
      <w:r>
        <w:t xml:space="preserve">ФЗП – годовой фонд оплаты труда с учетом налогов сотрудников, которые будут привлечены к непосредственному исполнению пересматриваемого регуляторного инструмента и (или) требования, млн. теңге</w:t>
      </w:r>
    </w:p>
    <w:p>
      <w:r>
        <w:t xml:space="preserve">Т – срок исполнения регуляторного инструмента и (или) требования, в днях;</w:t>
      </w:r>
    </w:p>
    <w:p>
      <w:r>
        <w:t xml:space="preserve">З – затраты, связанные с исполнением пересматриваемого регуляторного инструмента и (или) требования, млн. теңге.</w:t>
      </w:r>
    </w:p>
    <w:p>
      <w:pPr>
        <w:pStyle w:val="Heading2"/>
      </w:pPr>
      <w:r>
        <w:t xml:space="preserve">Подпункт 3</w:t>
      </w:r>
    </w:p>
    <w:p>
      <w:r>
        <w:t xml:space="preserve">3) прогнозный расчет наступления негативного последствия от несоблюдения пересматриваемого регуляторного инструмента и (или) требования.</w:t>
      </w:r>
    </w:p>
    <w:p>
      <w:r>
        <w:t xml:space="preserve">К – количество субъектов предпринимательства, на которых распространяется необходимость исполнения вводимого (пересматриваемого) регуляторного инструмента и (или) требования, чел;</w:t>
      </w:r>
    </w:p>
    <w:p>
      <w:r>
        <w:t xml:space="preserve">ГШ = Ш х (К\100 х П)</w:t>
      </w:r>
    </w:p>
    <w:p>
      <w:r>
        <w:t xml:space="preserve">П – процент нарушителей (прогнозно), в процентах;</w:t>
      </w:r>
    </w:p>
    <w:p>
      <w:r>
        <w:t xml:space="preserve">Ш – размер штрафа за нарушение, теңге;</w:t>
      </w:r>
    </w:p>
    <w:p>
      <w:r>
        <w:t xml:space="preserve">ГШ - Сумма годового штрафа, млн. теңге;</w:t>
      </w:r>
    </w:p>
    <w:p>
      <w:r>
        <w:t xml:space="preserve">В – выгода государства от введения регуляторного инструмента и (или) требования, млн. теңге;</w:t>
      </w:r>
    </w:p>
    <w:p>
      <w:r>
        <w:t xml:space="preserve">В = ГШ – С</w:t>
      </w:r>
    </w:p>
    <w:p>
      <w:pPr>
        <w:pStyle w:val="Heading2"/>
      </w:pPr>
      <w:r>
        <w:t xml:space="preserve">Подпункт 4</w:t>
      </w:r>
    </w:p>
    <w:p>
      <w:r>
        <w:t xml:space="preserve">4) При оценке соответствия пересматриваемого регуляторного инструмента и (или) требования "Рациональности" государственный орган должен в произвольной форме ответить на следующие вопросы:</w:t>
      </w:r>
    </w:p>
    <w:p>
      <w:pPr>
        <w:pStyle w:val="Heading2"/>
      </w:pPr>
      <w:r>
        <w:t xml:space="preserve">Подпункт 1</w:t>
      </w:r>
    </w:p>
    <w:p>
      <w:r>
        <w:t xml:space="preserve">1) Учитывает ли вводимый (изменяемый) регуляторный инструмент и(или) обязательное требование в отношении субъекта предпринимательства или его деятельности (процесса, действия) необременительность такого введения (изменения)?</w:t>
      </w:r>
    </w:p>
    <w:p>
      <w:pPr>
        <w:pStyle w:val="Heading2"/>
      </w:pPr>
      <w:r>
        <w:t xml:space="preserve">Подпункт 2</w:t>
      </w:r>
    </w:p>
    <w:p>
      <w:r>
        <w:t xml:space="preserve">2) Возможно ли обеспечить безопасность без введения нового (изменения действующего), а также его отмены в ходе анализа (пересмотра) регуляторного инструмента и(или) требования? Почему?</w:t>
      </w:r>
    </w:p>
    <w:p>
      <w:r>
        <w:t xml:space="preserve">Оценка данного условия считается положительной, если государственный орган представит в произвольной форме ответ на каждый из выше перечисленных вопросов.</w:t>
      </w:r>
    </w:p>
    <w:p>
      <w:r>
        <w:t xml:space="preserve">При этом, отвечая на первый вопрос, государственный орган должен представить в качестве аргумента международный опыт.";</w:t>
      </w:r>
    </w:p>
    <w:p>
      <w:r>
        <w:t xml:space="preserve">подпункт 6) пункта 7 изложить в следующей редакции:</w:t>
      </w:r>
    </w:p>
    <w:p>
      <w:r>
        <w:t xml:space="preserve">"6) планы развития государственных органов, планы развития столицы, области, города республиканского значения, планы развития национальных управляющих холдингов, национальных холдингов и национальных компаний.";</w:t>
      </w:r>
    </w:p>
    <w:p>
      <w:r>
        <w:t xml:space="preserve">абзацы второй и третий раздела Расчет издержек на одно среднестатистическое предприятие субъект регулирования Приложения 3 к Правилам изложить в следующей редакции:</w:t>
      </w:r>
    </w:p>
    <w:p>
      <w:r>
        <w:t xml:space="preserve">"Данные Таблиц 1-5 (расходы за 5 лет в колонках "Итого") суммируются ___ теңге</w:t>
      </w:r>
    </w:p>
    <w:p>
      <w:r>
        <w:t xml:space="preserve">Данная величина умножается на количество предприятий (субъектов предпринимательства), которые являются субъектами этой альтернативы _________ теңге";</w:t>
      </w:r>
    </w:p>
    <w:p>
      <w:r>
        <w:t xml:space="preserve">строку 7 таблицы раздела Оценка соответствия условиям формирования регуляторных инструментов и (или) требований, установленных в регуляторном акте Приложения 3-1 к Правилам изложить в следующей редакции:</w:t>
      </w:r>
    </w:p>
    <w:p>
      <w:r>
        <w:t xml:space="preserve">"</w:t>
      </w:r>
    </w:p>
    <w:p>
      <w:r>
        <w:t xml:space="preserve">| 7 | Последовательность и предсказуемость | В соответствии с постановлением Правительства Республики Казахстан от 29 ноября 2017 года № 790 "Об утверждении Системы государственного планирования в Республике Казахстан" к документам системы государственного планирования относятся: 1) Национальный план развития Республики Казахстан; 2) Стратегия национальной безопасности Республики Казахстан; 3) Планы развития государственных органов, планы развития столицы, области, города республиканского значения; 4) Планы развития национальных управляющих холдингов, национальных холдингов и национальных компаний. 1) каким документом Системы государственного планирования предусмотрена необходимость пересмотра регуляторного инструмента и (или) требования? ____________________ (описывается регулирующим государственным органом) – от 0 до 2 баллов; 2) в случае отсутствия в документах Системы государственного планирования прямого указания на пересмотр регуляторного инструмента и (или) требования, указать положения данных документов, которые содержат нормы, обуславливающие необходимость их пересмотра? ____________________ (описывается регулирующим государственным органом) – от 0 до 2 баллов; 3) установлены ли сроки, позволяющие субъектам предпринимательства подготовиться к исполнению вводимого (изменяемого) регуляторного инструмента и(или) требования? Отсутствие прямого ответа на указанные вопросы считается отрицательной оценкой соответствия вводимого (изменяемого, пересматриваемого) регуляторного инструмента и(или) обязательного требования? ____________________ (описывается регулирующим государственным органом) – от 0 до 2 баллов; | 0-2 "0" – "не соответствует" "1" – "частично соответствует" "2" – "полностью соответствует"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национальной экономики Республики Казахстан от 13 мая 2019 года № 37 "Об утверждении Правил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пользования" (зарегистрирован в Реестре государственной регистрации нормативных правовых актов за № 18709)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1) статьи 17-1 Закона Республики Казахстан "О рекламе" ПРИКАЗЫВАЮ:";</w:t>
      </w:r>
    </w:p>
    <w:p>
      <w:r>
        <w:t xml:space="preserve">в Правилах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 (далее – Правила) разработаны в соответствии с подпунктом 1) статьи 17-1 Закона Республики Казахстан "О рекламе".";</w:t>
      </w:r>
    </w:p>
    <w:p>
      <w:r>
        <w:t xml:space="preserve">подпункт 6) пункта 3 изложить в следующей редакции:</w:t>
      </w:r>
    </w:p>
    <w:p>
      <w:r>
        <w:t xml:space="preserve">"6) местный исполнительный орган – коллегиальный исполнительный орган, возглавляемый акимом столицы, области, города республиканского значения, района (города областного значения), осуществляющий в пределах своей компетенции местное государственное управление и самоуправление на соответствующей территории;";</w:t>
      </w:r>
    </w:p>
    <w:p>
      <w:r>
        <w:t xml:space="preserve">пункты 5 и 6 изложить в следующей редакции:</w:t>
      </w:r>
    </w:p>
    <w:p>
      <w:r>
        <w:t xml:space="preserve">"5. Рекламные изображения и (или) информация на объектах наружной (визуальной) рекламы не должны использоваться для пропаганды или агитации насильственного изменения основ конституционного строя, посягательства на территориальную целостность, Суверенитет и Независимость Республики Казахстан, нарушения общественного порядка, подрыва национальной безопасности, войны, вооруженных конфликтов, социального, расового, национального, этнического, религиозного превосходства или розни, культа жестокости и насилия, нетрадиционной сексуальной ориентации, педофилии, порнографии, а также распространения сведений, составляющих государственные секреты Республики Казахстан и иные охраняемые законом тайны.</w:t>
      </w:r>
    </w:p>
    <w:p>
      <w:pPr>
        <w:pStyle w:val="Heading2"/>
      </w:pPr>
      <w:r>
        <w:t xml:space="preserve">Пункт 6</w:t>
      </w:r>
    </w:p>
    <w:p>
      <w:r>
        <w:t xml:space="preserve">6. Реклама не должна порочить объекты искусства, составляющие мировое или национальное культурное достояние, государственные символы (Государственный Флаг, Государственный Герб, Государственный Гимн), валюту любого государства, религиозные символы, какие-либо физические или юридические лица, деятельность, профессию и товар.";</w:t>
      </w:r>
    </w:p>
    <w:p>
      <w:r>
        <w:t xml:space="preserve">пункт 13 изложить в следующей редакции:</w:t>
      </w:r>
    </w:p>
    <w:p>
      <w:r>
        <w:t xml:space="preserve">"13. Размещение наружной (визуальной) рекламы на объектах наружной (визуальной) рекламы допускается при условии направления уведомления о размещении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 по форме согласно приложению к настоящим Правилам в соответствии с Законом Республики Казахстан "О разрешениях и уведомлениях".";</w:t>
      </w:r>
    </w:p>
    <w:p>
      <w:r>
        <w:t xml:space="preserve">пункт 15 изложить в следующей редакции:</w:t>
      </w:r>
    </w:p>
    <w:p>
      <w:r>
        <w:t xml:space="preserve">"15. Уведомления направляются рекламораспространителями, размещающими наружную (визуальную) рекламу:</w:t>
      </w:r>
    </w:p>
    <w:p>
      <w:r>
        <w:t xml:space="preserve">в местные исполнительные органы столицы, городов республиканского значения, городов областного значения – при размещении наружной (визуальной) рекламы на открытом пространстве за пределами помещений в столице, городах республиканского значения, городах областного значения, в полосе отвода автомобильных дорог общего пользования, проходящих через территории столицы, городов республиканского значения, городов областного значения;</w:t>
      </w:r>
    </w:p>
    <w:p>
      <w:r>
        <w:t xml:space="preserve">в местные исполнительные органы районов – при размещении наружной (визуальной) рекламы на открытом пространстве за пределами помещений в городах районного значения, селах, поселках, в полосе отвода автомобильных дорог общего пользования, проходящих через территории городов районного значения, сел, поселков, сельских округов, на открытом пространстве за пределами помещений вне населенных пунктов и вне полосы отвода автомобильных дорог общего пользования.";</w:t>
      </w:r>
    </w:p>
    <w:p>
      <w:r>
        <w:t xml:space="preserve">подпункт 2) пункта 17 изложить в следующей редакции:</w:t>
      </w:r>
    </w:p>
    <w:p>
      <w:r>
        <w:t xml:space="preserve">"2) документ, подтверждающий внесение платы за первый месяц размещения наружной (визуальной) рекламы в соответствии с Кодексом Республики Казахстан "Налоговый кодекс Республики Казахстан" (далее – Налоговый кодекс);".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политики развития предпринимательства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