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Председателя Агентства Республики Казахстан по финансовому мониторингу от 6 декабря 2024 года № 9 "Об утверждении Правил, перечня и формы сведений, подлежащих передаче посредством интеграции аппаратно-программных комплексов организаторов игорного бизнеса, осуществляющих деятельность букмекерской конторы и (или) тотализатора, с информационными системами уполномоченного органа по финансовому мониторингу"</w:t>
      </w:r>
    </w:p>
    <w:p>
      <w:r>
        <w:t xml:space="preserve">Приказ, Изменения. Агентство Республики Казахстан по финансовому мониторингу. от 01.06.2026. № 225926. редакция от 01.06.2026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Председателя Агентства Республики Казахстан по финансовому мониторингу от 6 декабря 2024 года № 9 "Об утверждении Правил, перечня и формы сведений, подлежащих передаче посредством интеграции аппаратно-программных комплексов организаторов игорного бизнеса, осуществляющих деятельность букмекерской конторы и (или) тотализатора, с информационными системами уполномоченного органа по финансовому мониторингу" (зарегистрирован в Реестре государственной регистрации нормативных правовых актов № 35455) следующие изменения:</w:t>
      </w:r>
    </w:p>
    <w:p>
      <w:r>
        <w:t xml:space="preserve">заголовок вносится изменение на казахском языке, текст на русском языке не меняется;</w:t>
      </w:r>
    </w:p>
    <w:p>
      <w:r>
        <w:t xml:space="preserve">подпункт 1) пункта 1 приказа изложить в следующей редакции:</w:t>
      </w:r>
    </w:p>
    <w:p>
      <w:r>
        <w:t xml:space="preserve">"1) Правила подлежащих передаче сведений посредством интеграции аппаратно-программных комплексов организаторов игорного бизнеса, осуществляющих деятельность букмекерской конторы и (или) тотализатора, с информационными системами уполномоченного органа по финансовому мониторингу согласно приложению 1 к настоящему приказу;";</w:t>
      </w:r>
    </w:p>
    <w:p>
      <w:r>
        <w:t xml:space="preserve">в Правилах передачи сведений посредством интеграции аппаратно-программных комплексов организаторов игорного бизнеса, осуществляющих деятельность букмекерской конторы и (или) тотализатора, с информационными системами уполномоченного органа по финансовому мониторингу, утвержденных указанным приказом:</w:t>
      </w:r>
    </w:p>
    <w:p>
      <w:r>
        <w:t xml:space="preserve">заголовок изложить в следующей редакции:</w:t>
      </w:r>
    </w:p>
    <w:p>
      <w:r>
        <w:t xml:space="preserve">"Правила подлежащих передаче сведений посредством интеграции аппаратно-программных комплексов организаторов игорного бизнеса, осуществляющих деятельность букмекерской конторы и (или) тотализатора, с информационными системами уполномоченного органа по финансовому мониторингу";</w:t>
      </w:r>
    </w:p>
    <w:p>
      <w:r>
        <w:t xml:space="preserve">пункт 1 изложить в следующей редакции:</w:t>
      </w:r>
    </w:p>
    <w:p>
      <w:r>
        <w:t xml:space="preserve">"1. Настоящие Правила подлежащих передачи сведений посредством интеграции аппаратно-программных комплексов организаторов игорного бизнеса, осуществляющих деятельность букмекерской конторы и (или) тотализатора, с информационными системами уполномоченного органа по финансовому мониторингу (далее – Правила) разработаны в соответствии с пунктом 4 статьи 12-1 Закона Республики Казахстан "Об игорном бизнесе" (далее – Закон об игорном бизнесе) и подпунктом 2) пункта 19 Положения об Агентстве Республики Казахстан по финансовому мониторингу, утвержденного Указом Президента Республики Казахстан от 20 февраля 2021 года № 515, и определяют порядок передачи сведений от организаторов игорного бизнеса, осуществляющих деятельность букмекерской конторы и (или) тотализатора, уполномоченному органу по финансовому мониторингу.";</w:t>
      </w:r>
    </w:p>
    <w:p>
      <w:r>
        <w:t xml:space="preserve">Перечень сведений , подлежащих передаче посредством интеграции аппаратно-программных комплексов организаторов игорного бизнеса, осуществляющих деятельность букмекерской конторы и (или) тотализатора, с информационными системами уполномоченного органа по финансовому мониторингу, утвержденный указанным приказом изложить в новой редакции согласно приложению 1 к настоящему приказу;</w:t>
      </w:r>
    </w:p>
    <w:p>
      <w:r>
        <w:t xml:space="preserve">Форму сведений , подлежащих передаче посредством интеграции аппаратно-программного комплекса букмекерской конторы и (или) тотализатора с информационной системой уполномоченного органа по финансовому мониторингу, утвержденную указанным приказом изложить в новой редакции согласно приложению 2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цифровизации Агентства Республики Казахстан по финансовому мониторингу в установленном законодательством Республики Казахстан порядке обеспечить интеграцию информационных систем Агентства Республики Казахстан по финансовому мониторингу с аппаратно-программными комплексами организаторов игорного бизнеса, осуществляющих деятельность букмекерской конторы и (или) тотализатора.</w:t>
      </w:r>
    </w:p>
    <w:p>
      <w:pPr>
        <w:pStyle w:val="Heading2"/>
      </w:pPr>
      <w:r>
        <w:t xml:space="preserve">Пункт 3</w:t>
      </w:r>
    </w:p>
    <w:p>
      <w:r>
        <w:t xml:space="preserve">3. Департаменту по работе с субъектами финансового мониторинга Агентства Республики Казахстан по финансовому мониторингу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Агентства Республики Казахстан по финансовому мониторингу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представить в Департамент правового обеспечения Агентства Республики Казахстан по финансовому мониторингу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приказа возложить на Первого заместителя Председателя Агентства Республики Казахстан по финансовому мониторингу.</w:t>
      </w:r>
    </w:p>
    <w:p>
      <w:pPr>
        <w:pStyle w:val="Heading2"/>
      </w:pPr>
      <w:r>
        <w:t xml:space="preserve">Пункт 5</w:t>
      </w:r>
    </w:p>
    <w:p>
      <w:r>
        <w:t xml:space="preserve">5.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Агентства Республики Казахстан по финансовому мониторингу | Ж. Элиманов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туризма и спорта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искусственного интеллекта и цифрового развития Республики Казахстан</w:t>
      </w:r>
    </w:p>
    <w:p>
      <w:r>
        <w:t xml:space="preserve">|  | Приложение 1 к приказу от 1 июня 2026 года № 11 Приложение 2 к приказу Председателя Агентства Республики Казахстан по финансовому мониторингу от 6 декабря 2024 года № 9 |</w:t>
      </w:r>
    </w:p>
    <w:p>
      <w:r>
        <w:t xml:space="preserve">|---|---|</w:t>
      </w:r>
    </w:p>
    <w:p>
      <w:pPr>
        <w:pStyle w:val="Heading2"/>
      </w:pPr>
      <w:r>
        <w:t xml:space="preserve">Глава Перечень сведений, подлежащих передаче посредством интеграции аппаратно-программных комплексов организаторов игорного бизнеса, осуществляющих деятельность букмекерской конторы и (или) тотализатора, с информационными системами уполномоченного органа по финансовому мониторингу</w:t>
      </w:r>
    </w:p>
    <w:p>
      <w:pPr>
        <w:pStyle w:val="Heading2"/>
      </w:pPr>
      <w:r>
        <w:t xml:space="preserve">Текст</w:t>
      </w:r>
    </w:p>
    <w:p>
      <w:r>
        <w:t xml:space="preserve">Сведения об организаторе игорного бизнеса</w:t>
      </w:r>
    </w:p>
    <w:p>
      <w:pPr>
        <w:pStyle w:val="Heading2"/>
      </w:pPr>
      <w:r>
        <w:t xml:space="preserve">Пункт 1</w:t>
      </w:r>
    </w:p>
    <w:p>
      <w:r>
        <w:t xml:space="preserve">1. Бизнес-идентификационный номер.</w:t>
      </w:r>
    </w:p>
    <w:p>
      <w:pPr>
        <w:pStyle w:val="Heading2"/>
      </w:pPr>
      <w:r>
        <w:t xml:space="preserve">Пункт 2</w:t>
      </w:r>
    </w:p>
    <w:p>
      <w:r>
        <w:t xml:space="preserve">2. Наименование организатора игорного бизнеса.</w:t>
      </w:r>
    </w:p>
    <w:p>
      <w:r>
        <w:t xml:space="preserve">Сведения об участнике пари</w:t>
      </w:r>
    </w:p>
    <w:p>
      <w:pPr>
        <w:pStyle w:val="Heading2"/>
      </w:pPr>
      <w:r>
        <w:t xml:space="preserve">Пункт 3</w:t>
      </w:r>
    </w:p>
    <w:p>
      <w:r>
        <w:t xml:space="preserve">3. Фамилия, имя, отчество (при наличии).</w:t>
      </w:r>
    </w:p>
    <w:p>
      <w:pPr>
        <w:pStyle w:val="Heading2"/>
      </w:pPr>
      <w:r>
        <w:t xml:space="preserve">Пункт 4</w:t>
      </w:r>
    </w:p>
    <w:p>
      <w:r>
        <w:t xml:space="preserve">4. Индивидуальный идентификационный номер (ИИН).</w:t>
      </w:r>
    </w:p>
    <w:p>
      <w:pPr>
        <w:pStyle w:val="Heading2"/>
      </w:pPr>
      <w:r>
        <w:t xml:space="preserve">Пункт 5</w:t>
      </w:r>
    </w:p>
    <w:p>
      <w:r>
        <w:t xml:space="preserve">5. Идентификационные данные (в зависимости от статуса лица):</w:t>
      </w:r>
    </w:p>
    <w:p>
      <w:r>
        <w:t xml:space="preserve">• индивидуальный идентификационный номер, указанный в виде на жительство иностранного гражданина в Республике Казахстан, или номер заграничного паспорта (для иностранного гражданина);</w:t>
      </w:r>
    </w:p>
    <w:p>
      <w:r>
        <w:t xml:space="preserve">• индивидуальный идентификационный номер, указанный в удостоверении лица без гражданства (для лица без гражданства).</w:t>
      </w:r>
    </w:p>
    <w:p>
      <w:pPr>
        <w:pStyle w:val="Heading2"/>
      </w:pPr>
      <w:r>
        <w:t xml:space="preserve">Пункт 6</w:t>
      </w:r>
    </w:p>
    <w:p>
      <w:r>
        <w:t xml:space="preserve">6. Гражданство (при наличии).</w:t>
      </w:r>
    </w:p>
    <w:p>
      <w:pPr>
        <w:pStyle w:val="Heading2"/>
      </w:pPr>
      <w:r>
        <w:t xml:space="preserve">Пункт 7</w:t>
      </w:r>
    </w:p>
    <w:p>
      <w:r>
        <w:t xml:space="preserve">7. Абонентский номер сотовой связи.</w:t>
      </w:r>
    </w:p>
    <w:p>
      <w:pPr>
        <w:pStyle w:val="Heading2"/>
      </w:pPr>
      <w:r>
        <w:t xml:space="preserve">Пункт 8</w:t>
      </w:r>
    </w:p>
    <w:p>
      <w:r>
        <w:t xml:space="preserve">8. Банковский счет физического лица (при наличии).</w:t>
      </w:r>
    </w:p>
    <w:p>
      <w:r>
        <w:t xml:space="preserve">Сведения об аккаунте участника пари</w:t>
      </w:r>
    </w:p>
    <w:p>
      <w:pPr>
        <w:pStyle w:val="Heading2"/>
      </w:pPr>
      <w:r>
        <w:t xml:space="preserve">Пункт 9</w:t>
      </w:r>
    </w:p>
    <w:p>
      <w:r>
        <w:t xml:space="preserve">9. Идентификатор аккаунта участника пари.</w:t>
      </w:r>
    </w:p>
    <w:p>
      <w:pPr>
        <w:pStyle w:val="Heading2"/>
      </w:pPr>
      <w:r>
        <w:t xml:space="preserve">Пункт 10</w:t>
      </w:r>
    </w:p>
    <w:p>
      <w:r>
        <w:t xml:space="preserve">10. Дата и время регистрации аккаунта.</w:t>
      </w:r>
    </w:p>
    <w:p>
      <w:pPr>
        <w:pStyle w:val="Heading2"/>
      </w:pPr>
      <w:r>
        <w:t xml:space="preserve">Пункт 11</w:t>
      </w:r>
    </w:p>
    <w:p>
      <w:r>
        <w:t xml:space="preserve">11. Статус аккаунта (активный, заблокирован).</w:t>
      </w:r>
    </w:p>
    <w:p>
      <w:r>
        <w:t xml:space="preserve">Сведения о платежных операциях</w:t>
      </w:r>
    </w:p>
    <w:p>
      <w:pPr>
        <w:pStyle w:val="Heading2"/>
      </w:pPr>
      <w:r>
        <w:t xml:space="preserve">Пункт 12</w:t>
      </w:r>
    </w:p>
    <w:p>
      <w:r>
        <w:t xml:space="preserve">12. Идентификатор платежной операции, присвоенный участником платежной инфраструктуры (банк и (или) платежная организация и (или) оператор сотовой связи).</w:t>
      </w:r>
    </w:p>
    <w:p>
      <w:pPr>
        <w:pStyle w:val="Heading2"/>
      </w:pPr>
      <w:r>
        <w:t xml:space="preserve">Пункт 13</w:t>
      </w:r>
    </w:p>
    <w:p>
      <w:r>
        <w:t xml:space="preserve">13. Наименование участника платежной инфраструктуры, участвующего в исполнении платежной операции (банк и (или) платежная организация и (или) оператор сотовой связи).</w:t>
      </w:r>
    </w:p>
    <w:p>
      <w:pPr>
        <w:pStyle w:val="Heading2"/>
      </w:pPr>
      <w:r>
        <w:t xml:space="preserve">Пункт 14</w:t>
      </w:r>
    </w:p>
    <w:p>
      <w:r>
        <w:t xml:space="preserve">14. Вид операции: поступление, выплата, возврат денежных средств.</w:t>
      </w:r>
    </w:p>
    <w:p>
      <w:pPr>
        <w:pStyle w:val="Heading2"/>
      </w:pPr>
      <w:r>
        <w:t xml:space="preserve">Пункт 15</w:t>
      </w:r>
    </w:p>
    <w:p>
      <w:r>
        <w:t xml:space="preserve">15. Дата и время операции.</w:t>
      </w:r>
    </w:p>
    <w:p>
      <w:pPr>
        <w:pStyle w:val="Heading2"/>
      </w:pPr>
      <w:r>
        <w:t xml:space="preserve">Пункт 16</w:t>
      </w:r>
    </w:p>
    <w:p>
      <w:r>
        <w:t xml:space="preserve">16. Сумма операции.</w:t>
      </w:r>
    </w:p>
    <w:p>
      <w:pPr>
        <w:pStyle w:val="Heading2"/>
      </w:pPr>
      <w:r>
        <w:t xml:space="preserve">Пункт 17</w:t>
      </w:r>
    </w:p>
    <w:p>
      <w:r>
        <w:t xml:space="preserve">17. Валюта операции (при наличии).</w:t>
      </w:r>
    </w:p>
    <w:p>
      <w:pPr>
        <w:pStyle w:val="Heading2"/>
      </w:pPr>
      <w:r>
        <w:t xml:space="preserve">Пункт 18</w:t>
      </w:r>
    </w:p>
    <w:p>
      <w:r>
        <w:t xml:space="preserve">18. Статус операции, сформированный участником платежной инфраструктуры (исполнена, отклонена, приостановлена, отменена, возвращена).</w:t>
      </w:r>
    </w:p>
    <w:p>
      <w:r>
        <w:t xml:space="preserve">|  | Приложение 2 к приказу от 1 июня 2026 года № 11 Приложение 3 к приказу Председателя Агентства Республики Казахстан по финасовому мониторингу от 6 декабря 2024 года № 9 Форма |</w:t>
      </w:r>
    </w:p>
    <w:p>
      <w:r>
        <w:t xml:space="preserve">|---|---|</w:t>
      </w:r>
    </w:p>
    <w:p>
      <w:pPr>
        <w:pStyle w:val="Heading2"/>
      </w:pPr>
      <w:r>
        <w:t xml:space="preserve">Глава Сведения, подлежащие передаче посредством интеграции аппаратно-программного комплекса букмекерской конторы и (или) тотализатора с информационными системами уполномоченного органа по финансовому мониторингу</w:t>
      </w:r>
    </w:p>
    <w:p>
      <w:r>
        <w:t xml:space="preserve">| № | 1 | 2 | 3 | 4 | 5 |</w:t>
      </w:r>
    </w:p>
    <w:p>
      <w:r>
        <w:t xml:space="preserve">|---|---|---|---|---|---|</w:t>
      </w:r>
    </w:p>
    <w:p>
      <w:r>
        <w:t xml:space="preserve">|  | Бизнес-идентификационный номер | Наименование организатора игорного бизнеса | Фамилия, имя, отчество (при наличии) | Индивидуальный идентификационный номер (ИИН) | Идентификационные данные (в зависимости от статуса лица): |</w:t>
      </w:r>
    </w:p>
    <w:p>
      <w:r>
        <w:t xml:space="preserve">|  |  | индивидуальный идентификационный номер, указанный в виде  на жительство иностранного гражданина в Республике Казахстан, или номер заграничного паспорта (для иностранного гражданина) | индивидуальный идентификационный номер, указанный в удостоверении лица без гражданства (для лица без гражданства) |  |  |</w:t>
      </w:r>
    </w:p>
    <w:p>
      <w:r>
        <w:t xml:space="preserve">| 6 | 7 | 8 | 9 | 10 |</w:t>
      </w:r>
    </w:p>
    <w:p>
      <w:r>
        <w:t xml:space="preserve">|---|---|---|---|---|</w:t>
      </w:r>
    </w:p>
    <w:p>
      <w:r>
        <w:t xml:space="preserve">| Гражданство (при наличии) | Абонентский номер сотовой связи | Банковский счет физического лица (при наличии) | Идентификатор аккаунта участника пари | Дата и время регистрации аккаунта |</w:t>
      </w:r>
    </w:p>
    <w:p>
      <w:r>
        <w:t xml:space="preserve">| 11 | 12 | 13 | 14 | 15 |</w:t>
      </w:r>
    </w:p>
    <w:p>
      <w:r>
        <w:t xml:space="preserve">|---|---|---|---|---|</w:t>
      </w:r>
    </w:p>
    <w:p>
      <w:r>
        <w:t xml:space="preserve">| Статус аккаунта (активный, заблокирован) | Идентификатор платежной операции, присвоенный участником платежной инфраструктуры (банк и (или) платежная организация и (или) оператор сотовой связи) | Наименование участника платежной инфраструктуры, участвующего в исполнении платежной операции (банк и (или) платежная организация и (или) оператор сотовой связи) | Вид операции: поступление, выплата, возврат денежных средств | Дата и время операции |</w:t>
      </w:r>
    </w:p>
    <w:p>
      <w:r>
        <w:t xml:space="preserve">| 16 | 17 | 18 |</w:t>
      </w:r>
    </w:p>
    <w:p>
      <w:r>
        <w:t xml:space="preserve">|---|---|---|</w:t>
      </w:r>
    </w:p>
    <w:p>
      <w:r>
        <w:t xml:space="preserve">| Сумма операции | Валюта операции (при наличии) | Статус операции, сформированный участником платежной инфраструктуры (исполнена, отклонена, приостановлена, отменена, возвращена)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