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некоторые приказы</w:t>
      </w:r>
    </w:p>
    <w:p>
      <w:r>
        <w:t xml:space="preserve">Приказ, Изменения. Министерство национальной экономики Республики Казахстан (Образован Указом Президента РК от 06.08.2014 г. № 875). от 30.04.2026. № 224936. редакция от 30.04.2026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Утвердить прилагаемый перечень некоторых приказов, в которые вносятся изменения.</w:t>
      </w:r>
    </w:p>
    <w:p>
      <w:pPr>
        <w:pStyle w:val="Heading2"/>
      </w:pPr>
      <w:r>
        <w:t xml:space="preserve">Пункт 2</w:t>
      </w:r>
    </w:p>
    <w:p>
      <w:r>
        <w:t xml:space="preserve">2. Комитету по регулированию естественных монополий Министерства национальной экономики Республики Казахстан в установленном законодательством Республики Казахстан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 после дня его первого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национальной экономики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Заместитель Премьер-Министра – Министр национальной экономики Республики Казахстан | С. Жумангарин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транспорта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промышленности и строительства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водных ресурсов и ирригации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энергетики Республики Казахстан</w:t>
      </w:r>
    </w:p>
    <w:p>
      <w:r>
        <w:t xml:space="preserve">|  | Утвержден приказом Заместитель Премьер- Министра – Министр национальной экономики Республики Казахстан от 30 апреля 2026 года № 43 |</w:t>
      </w:r>
    </w:p>
    <w:p>
      <w:r>
        <w:t xml:space="preserve">|---|---|</w:t>
      </w:r>
    </w:p>
    <w:p>
      <w:pPr>
        <w:pStyle w:val="Heading2"/>
      </w:pPr>
      <w:r>
        <w:t xml:space="preserve">Глава Перечень некоторых приказов, в которые вносятся изменения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национальной экономики Республики Казахстан от 19 ноября 2019 года № 90 "Об утверждении Правил формирования тарифов" (зарегистрирован в Реестре государственной регистрации нормативных правовых актов за № 19617) следующие изменения:</w:t>
      </w:r>
    </w:p>
    <w:p>
      <w:r>
        <w:t xml:space="preserve">в Правилах формирования тарифов, утвержденных указанным приказом:</w:t>
      </w:r>
    </w:p>
    <w:p>
      <w:pPr>
        <w:pStyle w:val="Heading2"/>
      </w:pPr>
      <w:r>
        <w:t xml:space="preserve">Раздел 2 параграфа 1 главы 1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"Раздел 2. Представление и принятие заявки";</w:t>
      </w:r>
    </w:p>
    <w:p>
      <w:pPr>
        <w:pStyle w:val="Heading2"/>
      </w:pPr>
      <w:r>
        <w:t xml:space="preserve">Текст</w:t>
      </w:r>
    </w:p>
    <w:p>
      <w:r>
        <w:t xml:space="preserve">подпункт 13) пункта 15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"13) подтверждающие документы об условиях финансирования и возмещения заемных ресурсов (заключенный кредитный договор и (или) соглашение о займе и (или) проспект выпуска долговых ценных бумаг (с приложением графика погашения основного долга и процентов от кредитора к ним;";</w:t>
      </w:r>
    </w:p>
    <w:p>
      <w:pPr>
        <w:pStyle w:val="Heading2"/>
      </w:pPr>
      <w:r>
        <w:t xml:space="preserve">Раздел 2 параграфа 2 главы 2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"Раздел 2. Особенности расчета тарифа на регулируемые услуги по подаче воды по магистральным трубопроводам";</w:t>
      </w:r>
    </w:p>
    <w:p>
      <w:pPr>
        <w:pStyle w:val="Heading2"/>
      </w:pPr>
      <w:r>
        <w:t xml:space="preserve">Текст</w:t>
      </w:r>
    </w:p>
    <w:p>
      <w:r>
        <w:t xml:space="preserve">подпункт 3) пункта 208-36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"3) информация об инвестиционных затратах на реализацию инвестиционной программы с указанием стоимости приобретаемых основных средств, строительно-монтажных работ с приложением сравнительного анализа уровня цен, в том числе документального технического подтверждения необходимости проведения таких работ, сводных сметных расчетов, объектных, локальных и ресурсных смет отдельно по каждому объекту, бизнес-план, прайс-листы, копии договоров, проектно-сметная документация или технико-экономическое обоснование, прошедшая экспертизу (в случае наличия);";</w:t>
      </w:r>
    </w:p>
    <w:p>
      <w:pPr>
        <w:pStyle w:val="Heading2"/>
      </w:pPr>
      <w:r>
        <w:t xml:space="preserve">Текст</w:t>
      </w:r>
    </w:p>
    <w:p>
      <w:r>
        <w:t xml:space="preserve">подпункты 3) и 4) пункта 341 изложить в следующей редакции:</w:t>
      </w:r>
    </w:p>
    <w:p>
      <w:pPr>
        <w:pStyle w:val="Heading2"/>
      </w:pPr>
      <w:r>
        <w:t xml:space="preserve">Текст</w:t>
      </w:r>
    </w:p>
    <w:p>
      <w:r>
        <w:t xml:space="preserve">"3) информация об инвестиционных затратах на реализацию инвестиционной программы с указанием стоимости приобретаемых основных средств, строительно-монтажных работ с приложением сравнительного анализа уровня цен, в том числе документального технического подтверждения необходимости проведения таких работ, сводных сметных расчетов, объектных, локальных и ресурсных смет отдельно по каждому объекту, бизнес-план, прайс-листы, копии договоров, проектно-сметная документация или технико-экономическое обоснование, прошедшая экспертизу (в случае наличия).</w:t>
      </w:r>
    </w:p>
    <w:p>
      <w:pPr>
        <w:pStyle w:val="Heading2"/>
      </w:pPr>
      <w:r>
        <w:t xml:space="preserve">Текст</w:t>
      </w:r>
    </w:p>
    <w:p>
      <w:r>
        <w:t xml:space="preserve">Рассмотрение заявления на утверждение инвестиционной программы осуществляется без проектной (проектно-сметной) документации по эскизам (эскизным проектам) согласованный с местными исполнительными органами городов республиканского значения, столицы, районов (городов областного значения) в случаях, предусмотренных пунктом 2 статьи 60 Закона Республики Казахстан "Об архитектурной, градостроительной и строительной деятельности в Республике Казахстан";";</w:t>
      </w:r>
    </w:p>
    <w:p>
      <w:pPr>
        <w:pStyle w:val="Heading2"/>
      </w:pPr>
      <w:r>
        <w:t xml:space="preserve">Подпункт 4</w:t>
      </w:r>
    </w:p>
    <w:p>
      <w:r>
        <w:t xml:space="preserve">4) заключенный кредитный договор и (или) соглашение о займе и (или) проспект выпуска долговых ценных бумаг (с приложением графика погашения основного долга и процентов от кредитора к ним);";</w:t>
      </w:r>
    </w:p>
    <w:p>
      <w:r>
        <w:t xml:space="preserve">подпункт 1) пункта 363 изложить в следующей редакции:</w:t>
      </w:r>
    </w:p>
    <w:p>
      <w:r>
        <w:t xml:space="preserve">"1) проект инвестиционной программы с учетом изменений с приложением материалов, обосновывающих внесение изменений в инвестиционную программу (бизнес-план, прайс-листы, копии договоров, копии актов выполненных работ, проектно-сметная документация или технико-экономическое обоснование, прошедшая экспертизу в установленном порядке (в случае наличия);";</w:t>
      </w:r>
    </w:p>
    <w:p>
      <w:r>
        <w:t xml:space="preserve">главу 6-1 изложить в следующей редакции:</w:t>
      </w:r>
    </w:p>
    <w:p>
      <w:r>
        <w:t xml:space="preserve">"Глава 6-1. Изменение утвержденной тарифной сметы и утвержденной инвестиционной программы в рамках реализации национального проекта по модернизации энергетического и коммунального секторов</w:t>
      </w:r>
    </w:p>
    <w:p>
      <w:pPr>
        <w:pStyle w:val="Heading2"/>
      </w:pPr>
      <w:r>
        <w:t xml:space="preserve">Параграф 1 Предварительное согласование заявления об утверждении (об изменении утвержденной) тарифной сметы и инвестиционной программы)</w:t>
      </w:r>
    </w:p>
    <w:p>
      <w:pPr>
        <w:pStyle w:val="Heading2"/>
      </w:pPr>
      <w:r>
        <w:t xml:space="preserve">Пункт 374-1</w:t>
      </w:r>
    </w:p>
    <w:p>
      <w:r>
        <w:t xml:space="preserve">374-1. Субъект обращается в ведомство уполномоченного органа одновременно с заявлением об утверждении (об изменении утвержденной) тарифной сметы и инвестиционной программы.</w:t>
      </w:r>
    </w:p>
    <w:p>
      <w:r>
        <w:t xml:space="preserve">Заявление одновременно предоставляется в адреса ведомства уполномоченного органа, технического оператора в сфере жилищных отношений и жилищно-коммунального хозяйства и финансового оператора, с общим сроком рассмотрения – 17 (семнадцати) рабочих дней.</w:t>
      </w:r>
    </w:p>
    <w:p>
      <w:pPr>
        <w:pStyle w:val="Heading2"/>
      </w:pPr>
      <w:r>
        <w:t xml:space="preserve">Пункт 374-2</w:t>
      </w:r>
    </w:p>
    <w:p>
      <w:r>
        <w:t xml:space="preserve">374-2. При обращении с заявлением, поданного в адрес ведомства уполномоченного органа для получения согласования, субъект представляет:</w:t>
      </w:r>
    </w:p>
    <w:p>
      <w:pPr>
        <w:pStyle w:val="Heading2"/>
      </w:pPr>
      <w:r>
        <w:t xml:space="preserve">Подпункт 1</w:t>
      </w:r>
    </w:p>
    <w:p>
      <w:r>
        <w:t xml:space="preserve">1) проект тарифной сметы;</w:t>
      </w:r>
    </w:p>
    <w:p>
      <w:pPr>
        <w:pStyle w:val="Heading2"/>
      </w:pPr>
      <w:r>
        <w:t xml:space="preserve">Подпункт 2</w:t>
      </w:r>
    </w:p>
    <w:p>
      <w:r>
        <w:t xml:space="preserve">2) проект инвестиционной программы;</w:t>
      </w:r>
    </w:p>
    <w:p>
      <w:pPr>
        <w:pStyle w:val="Heading2"/>
      </w:pPr>
      <w:r>
        <w:t xml:space="preserve">Подпункт 3</w:t>
      </w:r>
    </w:p>
    <w:p>
      <w:r>
        <w:t xml:space="preserve">3) заключение о согласовании техническим оператором в сфере жилищных отношений и жилищно-коммунального хозяйства.</w:t>
      </w:r>
    </w:p>
    <w:p>
      <w:r>
        <w:t xml:space="preserve">При обращении субъект представляет в ведомство уполномоченного органа проекты тарифной сметы и инвестиционной программы, по формам 7-1 и 12-1 согласно приложению 1 к настоящим Правилам, с учетом изменений и материалы, обосновывающие внесение изменений.</w:t>
      </w:r>
    </w:p>
    <w:p>
      <w:pPr>
        <w:pStyle w:val="Heading2"/>
      </w:pPr>
      <w:r>
        <w:t xml:space="preserve">Пункт 374-3</w:t>
      </w:r>
    </w:p>
    <w:p>
      <w:r>
        <w:t xml:space="preserve">374-3. Заявление, поданное субъектом в адрес ведомства уполномоченного органа для получения согласования, после выдачи согласования технического оператора в сфере жилищных отношений и жилищно-коммунального хозяйства рассматривается в срок не более 5 (пяти) рабочих дней с момента его поступления, в соответствии с настоящими Правилами, Правилами планирования, отбора, согласования проектов, мониторинга процессов проектирования, строительства и (или) эксплуатации в сфере жилищных отношений и жилищно-коммунального хозяйства в рамках реализации национального проекта по модернизации энергетического и коммунального секторов, утвержденными приказом Министра промышленности и строительства Республики Казахстан от 12 августа 2025 года № 297 (зарегистрирован в Реестре государственной регистрации нормативных правовых актов за № 36606), Правилами субсидирования ставки вознаграждения по займам, получаемым субъектами естественных монополий, а также по государственным ценным бумагам, выпускаемым местными исполнительными органами, по проектам, реализуемым в рамках национального проекта по модернизации энергетического и коммунального секторов, утвержденными приказом Заместителя Премьер-Министра – Министра национальной экономики Республики Казахстан от 12 августа 2025 года № 78 (зарегистрирован в Реестре государственной регистрации нормативных правовых актов за № 36613) и Правилами рассмотрения заявок субъектов естественных монополий для определения механизма финансирования и (или) субсидирования части ставки вознаграждения по займу по проектам модернизации и строительства энергетической и коммунальной инфраструктуры, утвержденными приказом Заместителя Премьер-Министра – Министра национальной экономики Республики Казахстан от 4 сентября 2025 года № 88 (зарегистрирован в Реестре государственной регистрации нормативных правовых актов за № 36799).</w:t>
      </w:r>
    </w:p>
    <w:p>
      <w:r>
        <w:t xml:space="preserve">В течение 3 (трех) рабочих дней с момента получения заявления ведомство уполномоченного органа проверяет полноту предоставленных материалов, предусмотренных пунктом 374-2 настоящих Правил, и направляет субъекту уведомление о принятии заявления к рассмотрению либо об отказе в его принятии в случае неполноты предоставленных материалов.</w:t>
      </w:r>
    </w:p>
    <w:p>
      <w:r>
        <w:t xml:space="preserve">При рассмотрении проекта тарифной сметы и инвестиционной программы ведомство уполномоченного органа осуществляет оценку их потенциального влияния на размер тарифа.</w:t>
      </w:r>
    </w:p>
    <w:p>
      <w:r>
        <w:t xml:space="preserve">По итогам рассмотрения выдается предварительное согласование, содержащий:</w:t>
      </w:r>
    </w:p>
    <w:p>
      <w:r>
        <w:t xml:space="preserve">рекомендации по планам финансирования;</w:t>
      </w:r>
    </w:p>
    <w:p>
      <w:r>
        <w:t xml:space="preserve">предложения по обеспечению экономической обоснованности затрат;</w:t>
      </w:r>
    </w:p>
    <w:p>
      <w:r>
        <w:t xml:space="preserve">меры по обеспечению качества и надежности предоставляемых услуг;</w:t>
      </w:r>
    </w:p>
    <w:p>
      <w:r>
        <w:t xml:space="preserve">предложения по повышению эффективности использования инвестиций и минимизации их воздействия на тариф для потребителей.</w:t>
      </w:r>
    </w:p>
    <w:p>
      <w:r>
        <w:t xml:space="preserve">Итоги рассмотрения отражаются на электронной платформе закупок модернизации.</w:t>
      </w:r>
    </w:p>
    <w:p>
      <w:pPr>
        <w:pStyle w:val="Heading2"/>
      </w:pPr>
      <w:r>
        <w:t xml:space="preserve">Параграф 2 Рассмотрение заявления об утверждении (об изменении утвержденной) тарифной сметы и инвестиционной программы</w:t>
      </w:r>
    </w:p>
    <w:p>
      <w:pPr>
        <w:pStyle w:val="Heading2"/>
      </w:pPr>
      <w:r>
        <w:t xml:space="preserve">Пункт 374-4</w:t>
      </w:r>
    </w:p>
    <w:p>
      <w:r>
        <w:t xml:space="preserve">374-4. При подаче заявления об утверждении (об изменении утвержденной) тарифной сметы и инвестиционной программы в ведомство уполномоченного органа, субъект представляет в ведомство уполномоченного органа:</w:t>
      </w:r>
    </w:p>
    <w:p>
      <w:pPr>
        <w:pStyle w:val="Heading2"/>
      </w:pPr>
      <w:r>
        <w:t xml:space="preserve">Подпункт 1</w:t>
      </w:r>
    </w:p>
    <w:p>
      <w:r>
        <w:t xml:space="preserve">1) проект тарифной сметы;</w:t>
      </w:r>
    </w:p>
    <w:p>
      <w:pPr>
        <w:pStyle w:val="Heading2"/>
      </w:pPr>
      <w:r>
        <w:t xml:space="preserve">Подпункт 2</w:t>
      </w:r>
    </w:p>
    <w:p>
      <w:r>
        <w:t xml:space="preserve">2) проект инвестиционной программы;</w:t>
      </w:r>
    </w:p>
    <w:p>
      <w:pPr>
        <w:pStyle w:val="Heading2"/>
      </w:pPr>
      <w:r>
        <w:t xml:space="preserve">Подпункт 3</w:t>
      </w:r>
    </w:p>
    <w:p>
      <w:r>
        <w:t xml:space="preserve">3) заключение финансового оператора, в том числе индикатив с условиями финансирования, выданный банком;</w:t>
      </w:r>
    </w:p>
    <w:p>
      <w:pPr>
        <w:pStyle w:val="Heading2"/>
      </w:pPr>
      <w:r>
        <w:t xml:space="preserve">Подпункт 4</w:t>
      </w:r>
    </w:p>
    <w:p>
      <w:r>
        <w:t xml:space="preserve">4) заключение технического оператора в сфере жилищных отношений и жилищно-коммунального хозяйства с приложением проектно-сметной документацией.</w:t>
      </w:r>
    </w:p>
    <w:p>
      <w:pPr>
        <w:pStyle w:val="Heading2"/>
      </w:pPr>
      <w:r>
        <w:t xml:space="preserve">Пункт 374-5</w:t>
      </w:r>
    </w:p>
    <w:p>
      <w:r>
        <w:t xml:space="preserve">374-5. Заявление на изменение утвержденной инвестиционной программы представляется одновременно в ведомство уполномоченного органа и государственный орган, осуществляющий руководство в соответствующей отрасли, и (или) местный исполнительный орган.</w:t>
      </w:r>
    </w:p>
    <w:p>
      <w:pPr>
        <w:pStyle w:val="Heading2"/>
      </w:pPr>
      <w:r>
        <w:t xml:space="preserve">Пункт 374-6</w:t>
      </w:r>
    </w:p>
    <w:p>
      <w:r>
        <w:t xml:space="preserve">374-6. Сроки рассмотрения заявления на изменение утвержденной инвестиционной программы со дня ее представления составляют:</w:t>
      </w:r>
    </w:p>
    <w:p>
      <w:r>
        <w:t xml:space="preserve">ведомством уполномоченного органа – не более 40 (сорока) рабочих дней;</w:t>
      </w:r>
    </w:p>
    <w:p>
      <w:r>
        <w:t xml:space="preserve">государственным органом, осуществляющим руководство в соответствующей отрасли, и (или) местным исполнительным органом – не более 20 (двадцати) рабочих дней.</w:t>
      </w:r>
    </w:p>
    <w:p>
      <w:r>
        <w:t xml:space="preserve">При этом срок рассмотрения ведомством уполномоченного органа и государственным органом, осуществляющим руководство в соответствующей отрасли, и (или) местным исполнительным органом не продлевается.</w:t>
      </w:r>
    </w:p>
    <w:p>
      <w:pPr>
        <w:pStyle w:val="Heading2"/>
      </w:pPr>
      <w:r>
        <w:t xml:space="preserve">Пункт 374-7</w:t>
      </w:r>
    </w:p>
    <w:p>
      <w:r>
        <w:t xml:space="preserve">374-7. В срок не позднее 3 (трех) рабочих дней со дня получения заявления на изменение утвержденной инвестиционной программы, ведомство уполномоченного органа уведомляет субъекта и государственный орган, осуществляющий руководство в соответствующих отраслях, и (или) местный исполнительный орган о принятии ее к рассмотрению либо об отказе в принятии ее к рассмотрению при подаче заявления на утверждение инвестиционной программы представление субъектом неполного пакета документов, указанных в пункте 374-6 настоящих Правил.</w:t>
      </w:r>
    </w:p>
    <w:p>
      <w:pPr>
        <w:pStyle w:val="Heading2"/>
      </w:pPr>
      <w:r>
        <w:t xml:space="preserve">Пункт 374-8</w:t>
      </w:r>
    </w:p>
    <w:p>
      <w:r>
        <w:t xml:space="preserve">374-8. По результатам рассмотрения проекта инвестиционной программы, реализуемого в рамках национального проекта по модернизация энергетического и коммунального секторов:</w:t>
      </w:r>
    </w:p>
    <w:p>
      <w:r>
        <w:t xml:space="preserve">государственный орган, осуществляющий руководство в соответствующей отрасли, и (или) местный исполнительный орган не позднее десяти рабочих дней со дня представления заявления на изменение утвержденной инвестиционной программы, направляет ведомству уполномоченного органа заключение о целесообразности или нецелесообразности принятия мероприятий инвестиционной программы субъекта;</w:t>
      </w:r>
    </w:p>
    <w:p>
      <w:r>
        <w:t xml:space="preserve">ведомство уполномоченного органа не позднее, чем за семь рабочих дней до принятия решения направляет в государственный орган, осуществляющий руководство в соответствующей отрасли, и (или) местный исполнительный орган, подписанный проект решения об утверждении инвестиционной программы с приложением инвестиционной программы;</w:t>
      </w:r>
    </w:p>
    <w:p>
      <w:r>
        <w:t xml:space="preserve">в течение двух рабочих дней со дня представления подписанного проекта решения об утверждении инвестиционной программы государственный орган, осуществляющий руководство в соответствующей отрасли и (или) местный исполнительный орган направляет ведомству уполномоченного органа решение об утверждении инвестиционной программы либо информирует о необходимости внесения изменений и (или) дополнений в подписанный проект решения об утверждении инвестиционной программы с приложением мотивированного заключения;</w:t>
      </w:r>
    </w:p>
    <w:p>
      <w:r>
        <w:t xml:space="preserve">в случае непредставления заключения о целесообразности или нецелесообразности принятия мероприятий инвестиционной программы или подписанного проекта решения об утверждении инвестиционной программы государственным органом, осуществляющим руководство в соответствующей отрасли, и (или) местным исполнительным органом в сроки, предусмотренными в настоящем пункте, является основанием для "согласовано по умолчанию".</w:t>
      </w:r>
    </w:p>
    <w:p>
      <w:pPr>
        <w:pStyle w:val="Heading2"/>
      </w:pPr>
      <w:r>
        <w:t xml:space="preserve">Пункт 374-9</w:t>
      </w:r>
    </w:p>
    <w:p>
      <w:r>
        <w:t xml:space="preserve">374-9. Расходы субъекта по выплатам вознаграждений и основного долга по привлеченным займам в рамках национального проекта по модернизации энергетического и коммунального секторов, не ограничиваются остаточной стоимостью основных средств и допустимым уровнем прибыли.";</w:t>
      </w:r>
    </w:p>
    <w:p>
      <w:r>
        <w:t xml:space="preserve">подпункт 5) пункта 631 изложить в следующей редакции:</w:t>
      </w:r>
    </w:p>
    <w:p>
      <w:r>
        <w:t xml:space="preserve">"5) расходы на выплату вознаграждения за заемные средства для реализации инвестиционного проекта субъекта включаются в расходы периода при предоставлении субъектом заключенного кредитного договора и (или) соглашения о займе и (или) проспекта выпуска долговых ценных бумаг (с приложением графика погашения основного долга и процентов от кредитора к ним и определяются следующим образом:</w:t>
      </w:r>
    </w:p>
    <w:p>
      <w:r>
        <w:t xml:space="preserve">расходы на выплату вознаграждений по заемным средствам, получаемым в национальной валюте, для реализации инвестиционного проекта учитываются при расчете тарифа в пределах суммы, рассчитанной с применением не более 2,5 кратной базовой ставки Национального Банка Республики Казахстан;</w:t>
      </w:r>
    </w:p>
    <w:p>
      <w:r>
        <w:t xml:space="preserve">расходы на выплату вознаграждения по заемным средствам, полученным в иностранной валюте, для реализации инвестиционного проекта учитываются при расчете тарифа в пределах суммы, рассчитанной с применением четырех кратной ставки Лондонского межбанковского рынка;</w:t>
      </w:r>
    </w:p>
    <w:p>
      <w:r>
        <w:t xml:space="preserve">Вознаграждение за заемные средства, полученные в иностранной валюте, учитываются в расходах периода затратной части тарифа с учетом прогнозируемого изменения курса тенге к иностранной валюте на основании основных показателей прогноза социально-экономического развития Республики Казахстан и прогнозных показателей республиканского бюджета Республики Казахстан.</w:t>
      </w:r>
    </w:p>
    <w:p>
      <w:r>
        <w:t xml:space="preserve">Базовая ставка Национального Банка Республики Казахстан и ставка Лондонского межбанковского рынка применяются на день принятия решения по утверждению тарифа и тарифных смет субъекта.";</w:t>
      </w:r>
    </w:p>
    <w:p>
      <w:pPr>
        <w:pStyle w:val="Heading2"/>
      </w:pPr>
      <w:r>
        <w:t xml:space="preserve">Приложение приложение 1 к Правилам формирования тарифов в тексте на русском языке:</w:t>
      </w:r>
    </w:p>
    <w:p>
      <w:pPr>
        <w:pStyle w:val="Heading2"/>
      </w:pPr>
      <w:r>
        <w:t xml:space="preserve">Текст</w:t>
      </w:r>
    </w:p>
    <w:p>
      <w:r>
        <w:t xml:space="preserve">дополнить формами 7-1 и 12-1 согласно приложениям 1 и 2 к настоящему Перечню.</w:t>
      </w:r>
    </w:p>
    <w:p>
      <w:pPr>
        <w:pStyle w:val="Heading2"/>
      </w:pPr>
      <w:r>
        <w:t xml:space="preserve">Пункт 2</w:t>
      </w:r>
    </w:p>
    <w:p>
      <w:r>
        <w:t xml:space="preserve">2. Внести в приказ Заместителя Премьер-Министра – Министра национальной экономики Республики Казахстан от 12 августа 2025 года № 78 "Об утверждении Правил субсидирования ставки вознаграждения по займам, получаемым субъектами естественных монополий, а также по государственным ценным бумагам, выпускаемым местными исполнительными органами, по проектам, реализуемым в рамках национального проекта по модернизации энергетического и коммунального секторов" (зарегистрирован в Реестре государственной регистрации нормативных правовых актов за № 36613) следующие изменения:</w:t>
      </w:r>
    </w:p>
    <w:p>
      <w:r>
        <w:t xml:space="preserve">в Правилах субсидирования ставки вознаграждения по займам, получаемым субъектами естественных монополий, а также по государственным ценным бумагам, выпускаемым местными исполнительными органами, по проектам, реализуемым в рамках национального проекта по модернизации энергетического и коммунального секторов, утвержденных указанным приказом:</w:t>
      </w:r>
    </w:p>
    <w:p>
      <w:r>
        <w:t xml:space="preserve">пункт 5 изложить в следующей редакции:</w:t>
      </w:r>
    </w:p>
    <w:p>
      <w:r>
        <w:t xml:space="preserve">"5. БВУ и (или) МФО и (или) АО "БРК" выдают займы по ставке вознаграждения, не превышающей уровень базовой ставки Национального Банка Республики Казахстан более чем на 4 (четыре) процента (для плавающей ставки вознаграждения), действующей на день принятия решения о субсидировании (для фиксированной ставки вознаграждения) или уровень ставки TONIA (Tenge Over Night Index Average) более чем на 4 (четыре) процента (для плавающей ставки вознаграждения), действующей на день принятия решения о субсидировании (для фиксированной ставки вознаграждения).";</w:t>
      </w:r>
    </w:p>
    <w:p>
      <w:r>
        <w:t xml:space="preserve">пункт 9 изложить в следующей редакции:</w:t>
      </w:r>
    </w:p>
    <w:p>
      <w:r>
        <w:t xml:space="preserve">"9. Субсидирование осуществляется из республиканского бюджета, согласно Типовому договору субсидирования ставки вознаграждения по займам, получаемым субъектами естественных монополий по проектам, реализуемым в рамках Национального проекта (далее – договор субсидирования по займам) между БВУ и (или) AO "БРК", заемщиком и финансовым агентом согласно приложению 1 к настоящим Правилам.</w:t>
      </w:r>
    </w:p>
    <w:p>
      <w:r>
        <w:t xml:space="preserve">Договор субсидирования по займам заключается с MФO с учетом внутренних правил и документов МФО, а также международных обязательств Республики Казахстан.";</w:t>
      </w:r>
    </w:p>
    <w:p>
      <w:r>
        <w:t xml:space="preserve">пункт 13 изложить в следующей редакции:</w:t>
      </w:r>
    </w:p>
    <w:p>
      <w:r>
        <w:t xml:space="preserve">"13. БВУ и (или) МФО и (или) АО "БРК" не взимают какие-либо комиссии, сборы и (или) иные платежи, связанные с заключением договора субсидирования по займам, за исключением:</w:t>
      </w:r>
    </w:p>
    <w:p>
      <w:pPr>
        <w:pStyle w:val="Heading2"/>
      </w:pPr>
      <w:r>
        <w:t xml:space="preserve">Подпункт 1</w:t>
      </w:r>
    </w:p>
    <w:p>
      <w:r>
        <w:t xml:space="preserve">1) случаев, связанных с изменением условий кредитования, кредитного договора, договора субсидирования по займам, инициируемым заемщиком;</w:t>
      </w:r>
    </w:p>
    <w:p>
      <w:pPr>
        <w:pStyle w:val="Heading2"/>
      </w:pPr>
      <w:r>
        <w:t xml:space="preserve">Подпункт 2</w:t>
      </w:r>
    </w:p>
    <w:p>
      <w:r>
        <w:t xml:space="preserve">2) комиссий, сборов и (или) иных платежей, взимаемых по причине нарушения заемщиком обязательств по кредитному договору, договору субсидирования по займам;</w:t>
      </w:r>
    </w:p>
    <w:p>
      <w:pPr>
        <w:pStyle w:val="Heading2"/>
      </w:pPr>
      <w:r>
        <w:t xml:space="preserve">Подпункт 3</w:t>
      </w:r>
    </w:p>
    <w:p>
      <w:r>
        <w:t xml:space="preserve">3) платежей по расчетно-кассовому обслуживанию заемщика;</w:t>
      </w:r>
    </w:p>
    <w:p>
      <w:pPr>
        <w:pStyle w:val="Heading2"/>
      </w:pPr>
      <w:r>
        <w:t xml:space="preserve">Подпункт 4</w:t>
      </w:r>
    </w:p>
    <w:p>
      <w:r>
        <w:t xml:space="preserve">4) связанных с проведением независимой оценки, страхования, регистрацией договора залога и снятием обременений.</w:t>
      </w:r>
    </w:p>
    <w:p>
      <w:r>
        <w:t xml:space="preserve">Субсидированию не подлежат ранее полученные заемщиком займы (кредиты) на модернизацию и (или) строительство энергетической и коммунальной инфраструктуры, по которым удешевлена ставка вознаграждения в рамках государственных мер поддержки.</w:t>
      </w:r>
    </w:p>
    <w:p>
      <w:r>
        <w:t xml:space="preserve">МФО могут взимать иные комиссии, сборы и (или) платежи, связанные с предоставлением и обслуживанием займа, включая комиссию за организацию займа.";</w:t>
      </w:r>
    </w:p>
    <w:p>
      <w:r>
        <w:t xml:space="preserve">пункты 15 и 16 изложить в следующей редакции:</w:t>
      </w:r>
    </w:p>
    <w:p>
      <w:r>
        <w:t xml:space="preserve">"15. БВУ и (или) МФО и (или) АО "БРК проводят оценку финансово - экономической эффективности проекта в соответствии с внутренними документами. При положительной оценке БВУ и (или) МФО и (или) АО "БРК" в течение 3 (трех) рабочих дней с даты принятия решения предоставляют заемщику письменный ответ о готовности кредитовать проект и необходимости предоставления решения финансового агента о субсидировании ставки вознаграждения по займу (кредиту).</w:t>
      </w:r>
    </w:p>
    <w:p>
      <w:r>
        <w:t xml:space="preserve">МФО предоставляют заемщику письменный ответ о готовности кредитовать проект согласно внутренним правилам и срокам МФО, после выполнения предваряющих условий выборки кредита и необходимости предоставления решения финансового агента о субсидировании ставки вознаграждения по займу (кредиту).</w:t>
      </w:r>
    </w:p>
    <w:p>
      <w:pPr>
        <w:pStyle w:val="Heading2"/>
      </w:pPr>
      <w:r>
        <w:t xml:space="preserve">Пункт 16</w:t>
      </w:r>
    </w:p>
    <w:p>
      <w:r>
        <w:t xml:space="preserve">16. Заемщик для получения субсидирования подает электронное заявление – анкету на получение субсидии (далее – электронное заявление) согласно приложению 2 к настоящим Правилам, через информационную систему с последующей передачей посредством интеграции в систему электронного документооборота финансового агента, к которой прилагается перечень документов, согласно приложению 3 к настоящим Правилам.</w:t>
      </w:r>
    </w:p>
    <w:p>
      <w:r>
        <w:t xml:space="preserve">На период переходного этапа и до полной автоматизации процессов допускается подача заявления-анкеты на получение субсидии с приложением соответствующего пакета документов в бумажной форме.";</w:t>
      </w:r>
    </w:p>
    <w:p>
      <w:r>
        <w:t xml:space="preserve">пункт 20 изложить в следующей редакции:</w:t>
      </w:r>
    </w:p>
    <w:p>
      <w:r>
        <w:t xml:space="preserve">"20. Финансовый агент по итогам рассмотрения электронного заявления направляет заемщику посредством информационной системы письмо-уведомление о принятом решении в форме электронного документа, удостоверенного электронной цифровой подписью (далее - ЭЦП), в течение 3 (трех) рабочих дней с даты принятия решения. Одновременно финансовый агент направляет письмо-уведомление о принятом решении БВУ и (или) АО "БРК" посредством информационной системы и МФО посредством системы электронного документооборота МФО. Решение финансового агента действует 6 (шесть) месяцев с даты его принятия.";</w:t>
      </w:r>
    </w:p>
    <w:p>
      <w:r>
        <w:t xml:space="preserve">пункты 26 , 27 и 28 изложить в следующей редакции:</w:t>
      </w:r>
    </w:p>
    <w:p>
      <w:r>
        <w:t xml:space="preserve">"26. Финансовый агент отказывает в подписании договора субсидирования по займам с БВУ и (или) АО "БРК" при несоответствии:</w:t>
      </w:r>
    </w:p>
    <w:p>
      <w:pPr>
        <w:pStyle w:val="Heading2"/>
      </w:pPr>
      <w:r>
        <w:t xml:space="preserve">Подпункт 1</w:t>
      </w:r>
    </w:p>
    <w:p>
      <w:r>
        <w:t xml:space="preserve">1) условий договора субсидирования по займам решению финансового агента, условиям Национального проекта и настоящих Правил;</w:t>
      </w:r>
    </w:p>
    <w:p>
      <w:pPr>
        <w:pStyle w:val="Heading2"/>
      </w:pPr>
      <w:r>
        <w:t xml:space="preserve">Подпункт 2</w:t>
      </w:r>
    </w:p>
    <w:p>
      <w:r>
        <w:t xml:space="preserve">2) договора субсидирования по займам типовому договору субсидирования по займам;</w:t>
      </w:r>
    </w:p>
    <w:p>
      <w:pPr>
        <w:pStyle w:val="Heading2"/>
      </w:pPr>
      <w:r>
        <w:t xml:space="preserve">Подпункт 3</w:t>
      </w:r>
    </w:p>
    <w:p>
      <w:r>
        <w:t xml:space="preserve">3) договора банковского займа/договора займа условиям Национального проекта и настоящих Правил.</w:t>
      </w:r>
    </w:p>
    <w:p>
      <w:r>
        <w:t xml:space="preserve">Финансовый агент отказывает в подписании договора субсидирования по займам с МФО при несоответствии условий договора субсидирования по займам требованиям настоящих Правил.</w:t>
      </w:r>
    </w:p>
    <w:p>
      <w:r>
        <w:t xml:space="preserve">О наличии указанных несоответствий финансовый агент в письменной форме, не позднее срока, предусмотренного подпунктом 2) пункта 22 настоящих Правил, уведомляет БВУ и (или) МФО и (или) АО "БРК" для устранения замечаний.</w:t>
      </w:r>
    </w:p>
    <w:p>
      <w:r>
        <w:t xml:space="preserve">При устранении БВУ и (или) МФО и (или) АО "БРК" замечаний, финансовый агент подписывает договор субсидирования по займам.</w:t>
      </w:r>
    </w:p>
    <w:p>
      <w:pPr>
        <w:pStyle w:val="Heading2"/>
      </w:pPr>
      <w:r>
        <w:t xml:space="preserve">Пункт 27</w:t>
      </w:r>
    </w:p>
    <w:p>
      <w:r>
        <w:t xml:space="preserve">27. Погашение основного долга и вознаграждения по кредиту осуществляется аннуитетными или дифференцированными платежами или иными методами погашения займа (кредита), рассчитанными в соответствии с внутренними правилами БВУ и (или) МФО и (или) АО "БРК" согласно графику платежа. В случае, если дата погашения приходится на нерабочий день, то выплата производится в первый рабочий день, следующий за нерабочим днем.</w:t>
      </w:r>
    </w:p>
    <w:p>
      <w:pPr>
        <w:pStyle w:val="Heading2"/>
      </w:pPr>
      <w:r>
        <w:t xml:space="preserve">Пункт 28</w:t>
      </w:r>
    </w:p>
    <w:p>
      <w:r>
        <w:t xml:space="preserve">28. Выплата субсидий финансовым агентом осуществляется в соответствии с графиком платежей после подписания договора субсидирования по займам.</w:t>
      </w:r>
    </w:p>
    <w:p>
      <w:r>
        <w:t xml:space="preserve">БВУ и (или) заемщик (в случае займа МФО) и (или) АО "БРК" осуществляет открытие соответствующих текущих счетов в БВУ для перечисления средств субсидий с целью погашения вознаграждения по займу.</w:t>
      </w:r>
    </w:p>
    <w:p>
      <w:r>
        <w:t xml:space="preserve">Уполномоченный орган уведомляет Финансового оператора и Финансового агента о решении Республиканской бюджетной комиссии о выделении средств на субсидирование процентной ставки по займам субъектов естественных монополий в рамках Национального проекта.</w:t>
      </w:r>
    </w:p>
    <w:p>
      <w:r>
        <w:t xml:space="preserve">БВУ и (или) МФО и (или) АО "БРК" осуществляет открытие текущего счета финансовому агенту для последующего перечисления средств субсидий.";</w:t>
      </w:r>
    </w:p>
    <w:p>
      <w:r>
        <w:t xml:space="preserve">пункт 33 изложить в следующей редакции:</w:t>
      </w:r>
    </w:p>
    <w:p>
      <w:r>
        <w:t xml:space="preserve">"33. Перечисление субсидий на погашение ставки вознаграждения по займам (кредитам) заемщиков осуществляется финансовым агентом авансовыми платежами с учетом графика платежей заемщиков на текущий счет в БВУ.</w:t>
      </w:r>
    </w:p>
    <w:p>
      <w:r>
        <w:t xml:space="preserve">При этом финансовый агент направляет в адреса БВУ и (или) заемщика (в случае займа МФО) и (или) АО "БРК" копии распоряжения о перечислении средств с указанием заемщика, региона, суммы субсидий и периода, за которые произведена выплата.";</w:t>
      </w:r>
    </w:p>
    <w:p>
      <w:r>
        <w:t xml:space="preserve">пункты 36 , 37 и 38 изложить в следующей редакции:</w:t>
      </w:r>
    </w:p>
    <w:p>
      <w:r>
        <w:t xml:space="preserve">"36. БВУ и (или) заемщик (в случае займа МФО) и (или) АО "БРК" осуществляет списание субсидий с текущего счета финансового агента по каждому займу (кредиту) в соответствии с распоряжением, полученным от финансового агента при условии отсутствия задолженности по основному долгу и несубсидируемой ставки вознаграждения по займу (кредиту).</w:t>
      </w:r>
    </w:p>
    <w:p>
      <w:pPr>
        <w:pStyle w:val="Heading2"/>
      </w:pPr>
      <w:r>
        <w:t xml:space="preserve">Пункт 37</w:t>
      </w:r>
    </w:p>
    <w:p>
      <w:r>
        <w:t xml:space="preserve">37. При частичном либо полном досрочном погашении основного долга заемщиком, БВУ и (или) АО "БРК", заемщик уведомляет об этом финансового агента в течение 7 (семи) рабочих дней с последующим представлением дополнительного соглашения к договору субсидирования по займам с измененным графиком платежей и копии дополнительного соглашения к договору банковского займа (при заключении дополнительного соглашения – не позднее 10 (десяти) рабочих дней с даты подписания дополнительного соглашения к договору банковского займа).</w:t>
      </w:r>
    </w:p>
    <w:p>
      <w:pPr>
        <w:pStyle w:val="Heading2"/>
      </w:pPr>
      <w:r>
        <w:t xml:space="preserve">Пункт 38</w:t>
      </w:r>
    </w:p>
    <w:p>
      <w:r>
        <w:t xml:space="preserve">38. Не подлежат списанию БВУ и (или) заемщиком (в случае займа МФО) и (или) АО "БРК" субсидии с текущего счета финансового агента до погашения задолженности заемщиком суммы основного долга и несубсидируемой ставки вознаграждения по займу (кредиту) в следующих случаях:</w:t>
      </w:r>
    </w:p>
    <w:p>
      <w:pPr>
        <w:pStyle w:val="Heading2"/>
      </w:pPr>
      <w:r>
        <w:t xml:space="preserve">Подпункт 1</w:t>
      </w:r>
    </w:p>
    <w:p>
      <w:r>
        <w:t xml:space="preserve">1) неисполнения заемщиком обязательств согласно графику платежей в течение 30 (тридцати) календарных дней;</w:t>
      </w:r>
    </w:p>
    <w:p>
      <w:pPr>
        <w:pStyle w:val="Heading2"/>
      </w:pPr>
      <w:r>
        <w:t xml:space="preserve">Подпункт 2</w:t>
      </w:r>
    </w:p>
    <w:p>
      <w:r>
        <w:t xml:space="preserve">2) неисполнения заемщиком в течение 3 (трех) месяцев подряд обязательств согласно графику платежей;</w:t>
      </w:r>
    </w:p>
    <w:p>
      <w:pPr>
        <w:pStyle w:val="Heading2"/>
      </w:pPr>
      <w:r>
        <w:t xml:space="preserve">Подпункт 3</w:t>
      </w:r>
    </w:p>
    <w:p>
      <w:r>
        <w:t xml:space="preserve">3) проведения процедуры по реструктуризации обязательств заемщика.</w:t>
      </w:r>
    </w:p>
    <w:p>
      <w:r>
        <w:t xml:space="preserve">По указанным случаям БВУ и (или) АО "БРК" в течение 2 (двух) рабочих дней с момента обнаружения уведомляет финансового агента.</w:t>
      </w:r>
    </w:p>
    <w:p>
      <w:r>
        <w:t xml:space="preserve">МФО осуществляет уведомление финансового агента согласно собственным внутренним срокам и правилам.";</w:t>
      </w:r>
    </w:p>
    <w:p>
      <w:r>
        <w:t xml:space="preserve">пункт 43 изложить в следующей редакции:</w:t>
      </w:r>
    </w:p>
    <w:p>
      <w:r>
        <w:t xml:space="preserve">"43. Финансовый агент приостанавливает субсидирование заемщика в следующих случаях:</w:t>
      </w:r>
    </w:p>
    <w:p>
      <w:pPr>
        <w:pStyle w:val="Heading2"/>
      </w:pPr>
      <w:r>
        <w:t xml:space="preserve">Подпункт 1</w:t>
      </w:r>
    </w:p>
    <w:p>
      <w:r>
        <w:t xml:space="preserve">1) нецелевого использования займа (кредита), по которому осуществляется субсидирование;</w:t>
      </w:r>
    </w:p>
    <w:p>
      <w:pPr>
        <w:pStyle w:val="Heading2"/>
      </w:pPr>
      <w:r>
        <w:t xml:space="preserve">Подпункт 2</w:t>
      </w:r>
    </w:p>
    <w:p>
      <w:r>
        <w:t xml:space="preserve">2) несоответствия проекта и (или) заемщика условиям Национального проекта и настоящих Правил и (или) решению финансового агента, при условии неустранения выявленных нарушений в течение 3 (трех) месяцев;</w:t>
      </w:r>
    </w:p>
    <w:p>
      <w:pPr>
        <w:pStyle w:val="Heading2"/>
      </w:pPr>
      <w:r>
        <w:t xml:space="preserve">Подпункт 3</w:t>
      </w:r>
    </w:p>
    <w:p>
      <w:r>
        <w:t xml:space="preserve">3) неисполнения заемщиком в течение 3 (трех) месяцев подряд обязательств по оплате ежемесячных платежей перед БВУ и (или) МФО и (или) АО "БРК" согласно графику платежей;</w:t>
      </w:r>
    </w:p>
    <w:p>
      <w:pPr>
        <w:pStyle w:val="Heading2"/>
      </w:pPr>
      <w:r>
        <w:t xml:space="preserve">Подпункт 4</w:t>
      </w:r>
    </w:p>
    <w:p>
      <w:r>
        <w:t xml:space="preserve">4) ареста денег, находящихся на банковском счете заемщика (за исключением наложения ареста денег на счетах в качестве мер по обеспечению иска, при условии достаточности денег на счете, в полном объеме обеспечивающих исковые требования), и (или) приостановления расходных операций по счету заемщика на срок более 3 (трех) месяцев, за исключением ареста или приостановления вследствие задолженности, которая рассматривается в рамках согласованной процедуры по реструктуризации обязательств заемщика.";</w:t>
      </w:r>
    </w:p>
    <w:p>
      <w:r>
        <w:t xml:space="preserve">пункт 45 изложить в следующей редакции:</w:t>
      </w:r>
    </w:p>
    <w:p>
      <w:r>
        <w:t xml:space="preserve">"45. Финансовый агент в течение 5 (пяти) рабочих дней со дня получения решения финансового оператора о приостановлении субсидирования, направляет письмо-уведомление СЕМ, финансовому и техническому оператору в сфере жилищных отношений и жилищно-коммунального хозяйства, Тарифному регулятору, местному исполнительному органу и уполномоченному органу соответствующей сферы посредством Информационной системы, а также БВУ и (или) МФО (посредством системы электронного документооборота МФО) и (или) АО "БРК" с указанием причин приостановления субсидирования.";</w:t>
      </w:r>
    </w:p>
    <w:p>
      <w:r>
        <w:t xml:space="preserve">пункт 48 изложить в следующей редакции:</w:t>
      </w:r>
    </w:p>
    <w:p>
      <w:r>
        <w:t xml:space="preserve">"48. Финансовый агент в течение 3 (трех) рабочих дней со дня получения соответствующего решения финансового оператора направляет письмо-уведомление о возобновлении субсидирования СЕМ, финансовому и техническому операторам в сфере жилищных отношений и жилищно-коммунального хозяйства, Тарифному регулятору, местному исполнительному органу и уполномоченному органу соответствующей сферы посредством Информационной системы, а также БВУ и (или) МФО (посредством системы электронного документооборота МФО) и (или) АО "БРК" с указанием причин возобновления субсидирования.";</w:t>
      </w:r>
    </w:p>
    <w:p>
      <w:r>
        <w:t xml:space="preserve">пункты 52 и 53 изложить в следующей редакции:</w:t>
      </w:r>
    </w:p>
    <w:p>
      <w:r>
        <w:t xml:space="preserve">"52. При принятии решения о прекращении субсидирования займа (кредита), финансовый агент уведомляет заемщика и БВУ и (или) МФО (посредством системы электронного документооборота МФО) и (или) АО "БРК", а также СЕМ, финансового и технического операторов в сфере жилищных отношений и жилищно-коммунального хозяйства, тарифного регулятора, местный исполнительный орган и уполномоченный орган соответствующей сферы посредством Информационной системы, с указанием причин прекращения субсидирования.</w:t>
      </w:r>
    </w:p>
    <w:p>
      <w:r>
        <w:t xml:space="preserve">При нецелевом использовании займа (кредита) субсидирование прекращается пропорционально сумме нецелевого использования кредитных средств.</w:t>
      </w:r>
    </w:p>
    <w:p>
      <w:r>
        <w:t xml:space="preserve">В случае выявления полного нецелевого использования займа (кредита) или несоответствия проекта и (или) заемщика условиям настоящих Правил, субсидирование прекращается с полным возвратом заемщиком суммы выплаченных субсидий.</w:t>
      </w:r>
    </w:p>
    <w:p>
      <w:pPr>
        <w:pStyle w:val="Heading2"/>
      </w:pPr>
      <w:r>
        <w:t xml:space="preserve">Пункт 53</w:t>
      </w:r>
    </w:p>
    <w:p>
      <w:r>
        <w:t xml:space="preserve">53. Финансовый агент осуществляет:</w:t>
      </w:r>
    </w:p>
    <w:p>
      <w:pPr>
        <w:pStyle w:val="Heading2"/>
      </w:pPr>
      <w:r>
        <w:t xml:space="preserve">Подпункт 1</w:t>
      </w:r>
    </w:p>
    <w:p>
      <w:r>
        <w:t xml:space="preserve">1) мониторинг платежной дисциплины заемщика на основании данных, предоставляемых БВУ и (или) МФО и (или) АО "БРК" и (или) заемщиком;</w:t>
      </w:r>
    </w:p>
    <w:p>
      <w:pPr>
        <w:pStyle w:val="Heading2"/>
      </w:pPr>
      <w:r>
        <w:t xml:space="preserve">Подпункт 2</w:t>
      </w:r>
    </w:p>
    <w:p>
      <w:r>
        <w:t xml:space="preserve">2) регулярный учет полученных и выплаченных субсидий;</w:t>
      </w:r>
    </w:p>
    <w:p>
      <w:pPr>
        <w:pStyle w:val="Heading2"/>
      </w:pPr>
      <w:r>
        <w:t xml:space="preserve">Подпункт 3</w:t>
      </w:r>
    </w:p>
    <w:p>
      <w:r>
        <w:t xml:space="preserve">3) мониторинг целевого использования займа (кредита) заемщиком, на основании информации, предоставленной БВУ и (или) заемщиком (в случае займа МФО) и (или) АО "БРК".";</w:t>
      </w:r>
    </w:p>
    <w:p>
      <w:r>
        <w:t xml:space="preserve">пункт 57 изложить в следующей редакции:</w:t>
      </w:r>
    </w:p>
    <w:p>
      <w:r>
        <w:t xml:space="preserve">"57. Финансовый агент запрашивает у БВУ и (или) АО "БРК", технического оператора в сфере жилищных отношений и жилищно-коммунального хозяйства, а при необходимости – также у заемщика, необходимые документы и информацию, относящиеся к предмету мониторинга, включая сведения ограниченного доступа, в порядке, установленном законодательством Республики Казахстан. При этом БВУ и (или) заемщик и (или) АО "БРК", технический оператор в сфере жилищных отношений и жилищно-коммунального хозяйства, предоставляет запрашиваемую информацию в пределах своей компетенции.</w:t>
      </w:r>
    </w:p>
    <w:p>
      <w:r>
        <w:t xml:space="preserve">МФО в пределах собственных привилегий и иммунитетов, предоставленных международными договорами осуществляет сотрудничество в соответствии с договором субсидирования по займам с целью содействия получение финансовым агентом необходимой информации для мониторинга.";</w:t>
      </w:r>
    </w:p>
    <w:p>
      <w:r>
        <w:t xml:space="preserve">пункт 82 изложить в следующей редакции:</w:t>
      </w:r>
    </w:p>
    <w:p>
      <w:r>
        <w:t xml:space="preserve">"82. Выплата вознаграждения по государственным ценным бумагам, выпускаемым эмитентом для обращения на внутреннем рынке в целях реализации Национального проекта, осуществляется 2 (два) раза в год.";</w:t>
      </w:r>
    </w:p>
    <w:p>
      <w:r>
        <w:t xml:space="preserve">пункт 84 изложить в следующей редакции:</w:t>
      </w:r>
    </w:p>
    <w:p>
      <w:r>
        <w:t xml:space="preserve">"84. Субсидирование по облигациям осуществляется на следующих условиях:</w:t>
      </w:r>
    </w:p>
    <w:p>
      <w:pPr>
        <w:pStyle w:val="Heading2"/>
      </w:pPr>
      <w:r>
        <w:t xml:space="preserve">Подпункт 1</w:t>
      </w:r>
    </w:p>
    <w:p>
      <w:r>
        <w:t xml:space="preserve">1) целевое использование средств, привлеченных за счет выпуска облигаций – в соответствии с Правилами выпуска ценных бумаг для обращения на внутреннем рынке местным исполнительным органом области, города республиканского значения, столицы, утвержденными приказом Министра финансов Республики Казахстан от 30 мая 2025 года № 271 (зарегистрирован в Реестре государственной регистрации нормативных правовых актов за № 36181) и (или) по поручениям Правительства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осуществление нескольких выпусков облигаций в рамках определенного общего объема выпуска с соблюдением установленного лимита долга местного исполнительного органа;</w:t>
      </w:r>
    </w:p>
    <w:p>
      <w:pPr>
        <w:pStyle w:val="Heading2"/>
      </w:pPr>
      <w:r>
        <w:t xml:space="preserve">Подпункт 3</w:t>
      </w:r>
    </w:p>
    <w:p>
      <w:r>
        <w:t xml:space="preserve">3) срок обращения облигации – не более 5 (пяти) лет, не более 7 (семи) лет, не более 10 (десяти) лет и не более 15 (пятнадцати) лет.</w:t>
      </w:r>
    </w:p>
    <w:p>
      <w:r>
        <w:t xml:space="preserve">При этом, объем облигационного финансирования со сроком обращения 10 (десять) и 15 (пятнадцать) лет не должен превышать 25 % от общей суммы финансирования. Оставшаяся часть суммы может быть привлечена посредством выпуска облигаций со сроком обращения, соответствующим категории среднесрочных ценных бумаг.</w:t>
      </w:r>
    </w:p>
    <w:p>
      <w:pPr>
        <w:pStyle w:val="Heading2"/>
      </w:pPr>
      <w:r>
        <w:t xml:space="preserve">Подпункт 4</w:t>
      </w:r>
    </w:p>
    <w:p>
      <w:r>
        <w:t xml:space="preserve">4) ставка купонного вознаграждения по облигациям – определяется в порядке, установленном законодательством Республики Казахстан;</w:t>
      </w:r>
    </w:p>
    <w:p>
      <w:pPr>
        <w:pStyle w:val="Heading2"/>
      </w:pPr>
      <w:r>
        <w:t xml:space="preserve">Подпункт 5</w:t>
      </w:r>
    </w:p>
    <w:p>
      <w:r>
        <w:t xml:space="preserve">5) допускается установление плавающей ставки купонного вознаграждения.";</w:t>
      </w:r>
    </w:p>
    <w:p>
      <w:pPr>
        <w:pStyle w:val="Heading2"/>
      </w:pPr>
      <w:r>
        <w:t xml:space="preserve">Пункт 3</w:t>
      </w:r>
    </w:p>
    <w:p>
      <w:r>
        <w:t xml:space="preserve">3. Внести в приказ Заместителя Премьер-Министра – Министра национальной экономики Республики Казахстан от 4 сентября 2025 года № 88 "Об утверждении Правил рассмотрения заявок субъектов естественных монополий для определения механизма финансирования и (или) субсидирования части ставки вознаграждения по займу по проектам модернизации, строительства энергетической и коммунальной инфраструктуры" (зарегистрирован в Реестре государственной регистрации нормативных правовых актов за № 36799) следующие изменения:</w:t>
      </w:r>
    </w:p>
    <w:p>
      <w:r>
        <w:t xml:space="preserve">в Правилах рассмотрения заявок субъектов естественных монополий для определения механизма финансирования и (или) субсидирования части ставки вознаграждения по займу по проектам модернизации, строительства энергетической и коммунальной инфраструктуры, утвержденных указанным приказом:</w:t>
      </w:r>
    </w:p>
    <w:p>
      <w:r>
        <w:t xml:space="preserve">пункт 8 исключить;</w:t>
      </w:r>
    </w:p>
    <w:p>
      <w:r>
        <w:t xml:space="preserve">пункты 9 и 10 изложить в следующей редакции:</w:t>
      </w:r>
    </w:p>
    <w:p>
      <w:r>
        <w:t xml:space="preserve">"9. Финансовыми критериями для рассмотрения заявки в части определения показателей рентабельности и финансовой устойчивости являются:</w:t>
      </w:r>
    </w:p>
    <w:p>
      <w:pPr>
        <w:pStyle w:val="Heading2"/>
      </w:pPr>
      <w:r>
        <w:t xml:space="preserve">Подпункт 1</w:t>
      </w:r>
    </w:p>
    <w:p>
      <w:r>
        <w:t xml:space="preserve">1) отсутствие признаков банкротства, в том числе отсутствие арестов на банковских счетах, отсутствие установленных ограничений на выезд из Республики Казахстан, а также иные ограничительные меры, свидетельствующие о неплатҰжеспособности;</w:t>
      </w:r>
    </w:p>
    <w:p>
      <w:pPr>
        <w:pStyle w:val="Heading2"/>
      </w:pPr>
      <w:r>
        <w:t xml:space="preserve">Подпункт 2</w:t>
      </w:r>
    </w:p>
    <w:p>
      <w:r>
        <w:t xml:space="preserve">2) наличие/отсутствие просроченных обязательств перед государственным бюджетом или кредиторами;</w:t>
      </w:r>
    </w:p>
    <w:p>
      <w:pPr>
        <w:pStyle w:val="Heading2"/>
      </w:pPr>
      <w:r>
        <w:t xml:space="preserve">Подпункт 3</w:t>
      </w:r>
    </w:p>
    <w:p>
      <w:r>
        <w:t xml:space="preserve">3) показатели операционного денежного потока выше или равно нулю; эффективности компании – показатели, характеризующие эффективность осуществления основной деятельности компании (такие как EBITDA, операционная прибыль (EBIT), денежные средства от операционной деятельности и иные показатели), перечень которых не является исчерпывающим и может дополняться с учҰтом специфики деятельности компании;</w:t>
      </w:r>
    </w:p>
    <w:p>
      <w:pPr>
        <w:pStyle w:val="Heading2"/>
      </w:pPr>
      <w:r>
        <w:t xml:space="preserve">Подпункт 4</w:t>
      </w:r>
    </w:p>
    <w:p>
      <w:r>
        <w:t xml:space="preserve">4) анализ динамики финансовых показателей, включая как положительные, так и отрицательные изменения, с принятием соответствующего решения на основании предоставленных данных.</w:t>
      </w:r>
    </w:p>
    <w:p>
      <w:pPr>
        <w:pStyle w:val="Heading2"/>
      </w:pPr>
      <w:r>
        <w:t xml:space="preserve">Пункт 10</w:t>
      </w:r>
    </w:p>
    <w:p>
      <w:r>
        <w:t xml:space="preserve">10. Юридическим критерием является регистрация юридического лица субъекта естественных монополий на территории Республики Казахстан.".</w:t>
      </w:r>
    </w:p>
    <w:p>
      <w:r>
        <w:t xml:space="preserve">|  | Приложение 1 к Перечню |</w:t>
      </w:r>
    </w:p>
    <w:p>
      <w:r>
        <w:t xml:space="preserve">|---|---|</w:t>
      </w:r>
    </w:p>
    <w:p>
      <w:r>
        <w:t xml:space="preserve">|  | Приложение 1 к Правилам формирования тарифов |</w:t>
      </w:r>
    </w:p>
    <w:p>
      <w:r>
        <w:t xml:space="preserve">|  | Форма 7-1 |</w:t>
      </w:r>
    </w:p>
    <w:p>
      <w:pPr>
        <w:pStyle w:val="Heading2"/>
      </w:pPr>
      <w:r>
        <w:t xml:space="preserve">Глава Тарифная смета _________________ (наименование субъекта естественной монополии), реализуемая в рамках национального проекта по модернизации энергетического и коммунального секторов ______________________________________ наименование вида регулируемых услуг</w:t>
      </w:r>
    </w:p>
    <w:p>
      <w:r>
        <w:t xml:space="preserve">| ИИН/БИН |  |  |  |</w:t>
      </w:r>
    </w:p>
    <w:p>
      <w:r>
        <w:t xml:space="preserve">|---|---|---|---|</w:t>
      </w:r>
    </w:p>
    <w:p>
      <w:r>
        <w:t xml:space="preserve">| № п/п | Наименование показателей* | Единица измерения | Проект субъекта естественной монополии |</w:t>
      </w:r>
    </w:p>
    <w:p>
      <w:r>
        <w:t xml:space="preserve">| 1 | 2 | 3 | 4 |</w:t>
      </w:r>
    </w:p>
    <w:p>
      <w:r>
        <w:t xml:space="preserve">| I | Затраты на производство товаров и предоставление услуг, всего | тысяч тенге |  |</w:t>
      </w:r>
    </w:p>
    <w:p>
      <w:r>
        <w:t xml:space="preserve">|  | В том числе: |  |  |</w:t>
      </w:r>
    </w:p>
    <w:p>
      <w:r>
        <w:t xml:space="preserve">| 1 | Материальные затраты, всего | -//- |  |</w:t>
      </w:r>
    </w:p>
    <w:p>
      <w:r>
        <w:t xml:space="preserve">|  | В том числе: |  |  |</w:t>
      </w:r>
    </w:p>
    <w:p>
      <w:r>
        <w:t xml:space="preserve">| 1.1 | Сырье и материалы | -//- |  |</w:t>
      </w:r>
    </w:p>
    <w:p>
      <w:r>
        <w:t xml:space="preserve">| 1.2 | Покупные изделия | -//- |  |</w:t>
      </w:r>
    </w:p>
    <w:p>
      <w:r>
        <w:t xml:space="preserve">| 1.3 | ГСМ | -//- |  |</w:t>
      </w:r>
    </w:p>
    <w:p>
      <w:r>
        <w:t xml:space="preserve">| 1.4 | Топливо | -//- |  |</w:t>
      </w:r>
    </w:p>
    <w:p>
      <w:r>
        <w:t xml:space="preserve">| 1.5 | Энергия | -//- |  |</w:t>
      </w:r>
    </w:p>
    <w:p>
      <w:r>
        <w:t xml:space="preserve">| 2 | Затраты на оплату труда, всего | -//- |  |</w:t>
      </w:r>
    </w:p>
    <w:p>
      <w:r>
        <w:t xml:space="preserve">|  | В том числе: |  |  |</w:t>
      </w:r>
    </w:p>
    <w:p>
      <w:r>
        <w:t xml:space="preserve">| 2.1 | Заработная плата | -//- |  |</w:t>
      </w:r>
    </w:p>
    <w:p>
      <w:r>
        <w:t xml:space="preserve">| 2.2 | Социальный налог и социальные отчисления | -//- |  |</w:t>
      </w:r>
    </w:p>
    <w:p>
      <w:r>
        <w:t xml:space="preserve">| ОСМС |  |  |  |</w:t>
      </w:r>
    </w:p>
    <w:p>
      <w:r>
        <w:t xml:space="preserve">| 3 | Амортизация | -//- |  |</w:t>
      </w:r>
    </w:p>
    <w:p>
      <w:r>
        <w:t xml:space="preserve">| 4 | Ремонт, всего | -//- |  |</w:t>
      </w:r>
    </w:p>
    <w:p>
      <w:r>
        <w:t xml:space="preserve">|  | В том числе: |  |  |</w:t>
      </w:r>
    </w:p>
    <w:p>
      <w:r>
        <w:t xml:space="preserve">| 4.1 | Ремонт, не приводящий к росту стоимости основных средств | -//- |  |</w:t>
      </w:r>
    </w:p>
    <w:p>
      <w:r>
        <w:t xml:space="preserve">| 5 | Прочие затраты (расшифровать) | -//- |  |</w:t>
      </w:r>
    </w:p>
    <w:p>
      <w:r>
        <w:t xml:space="preserve">| II | Расходы периода, всего | -//- |  |</w:t>
      </w:r>
    </w:p>
    <w:p>
      <w:r>
        <w:t xml:space="preserve">| 6 | Общие и административные расходы, всего | -//- |  |</w:t>
      </w:r>
    </w:p>
    <w:p>
      <w:r>
        <w:t xml:space="preserve">|  | В том числе: |  |  |</w:t>
      </w:r>
    </w:p>
    <w:p>
      <w:r>
        <w:t xml:space="preserve">| 6.1 | Заработная плата административного персонала | -//- |  |</w:t>
      </w:r>
    </w:p>
    <w:p>
      <w:r>
        <w:t xml:space="preserve">| 6.2 | Социальный налог и социальные отчисления | -//- |  |</w:t>
      </w:r>
    </w:p>
    <w:p>
      <w:r>
        <w:t xml:space="preserve">| ОСМС |  |  |  |</w:t>
      </w:r>
    </w:p>
    <w:p>
      <w:r>
        <w:t xml:space="preserve">| 6.3 | Амортизация | -//- |  |</w:t>
      </w:r>
    </w:p>
    <w:p>
      <w:r>
        <w:t xml:space="preserve">| 6.4 | Коммунальные услуги | -//- |  |</w:t>
      </w:r>
    </w:p>
    <w:p>
      <w:r>
        <w:t xml:space="preserve">| 6.5 | Налоги | -//- |  |</w:t>
      </w:r>
    </w:p>
    <w:p>
      <w:r>
        <w:t xml:space="preserve">| 6.6 | Другие расходы (расшифровать) | -//- |  |</w:t>
      </w:r>
    </w:p>
    <w:p>
      <w:r>
        <w:t xml:space="preserve">| 7 | Расходы на выплату вознаграждений | -//- |  |</w:t>
      </w:r>
    </w:p>
    <w:p>
      <w:r>
        <w:t xml:space="preserve">| 8 | Расходы на выплату вознаграждения, реализуемые в рамках национального проекта по модернизации энергетического и коммунального секторов |  |  |</w:t>
      </w:r>
    </w:p>
    <w:p>
      <w:r>
        <w:t xml:space="preserve">| 9 | Основной долг в рамках реализации национального проекта по модернизации энергетического и коммунального секторов |  |  |</w:t>
      </w:r>
    </w:p>
    <w:p>
      <w:r>
        <w:t xml:space="preserve">| III | Всего затрат | -//- |  |</w:t>
      </w:r>
    </w:p>
    <w:p>
      <w:r>
        <w:t xml:space="preserve">| IV | Прибыль | -//- |  |</w:t>
      </w:r>
    </w:p>
    <w:p>
      <w:r>
        <w:t xml:space="preserve">| V | Всего доходов | -//- |  |</w:t>
      </w:r>
    </w:p>
    <w:p>
      <w:r>
        <w:t xml:space="preserve">| VI | Объем предоставляемых услуг | в натуральных показателях |  |</w:t>
      </w:r>
    </w:p>
    <w:p>
      <w:r>
        <w:t xml:space="preserve">| тысяч тенге |  |  |  |</w:t>
      </w:r>
    </w:p>
    <w:p>
      <w:r>
        <w:t xml:space="preserve">| VII | Нормативные потери | % |  |</w:t>
      </w:r>
    </w:p>
    <w:p>
      <w:r>
        <w:t xml:space="preserve">| В натуральных показателях |  |  |  |</w:t>
      </w:r>
    </w:p>
    <w:p>
      <w:r>
        <w:t xml:space="preserve">| VIII | Тариф (без налога на добавленную стоимость) | тенге/на единицу предоставляемых услуг |  |</w:t>
      </w:r>
    </w:p>
    <w:p>
      <w:r>
        <w:t xml:space="preserve">|  | Справочно: |  |  |</w:t>
      </w:r>
    </w:p>
    <w:p>
      <w:r>
        <w:t xml:space="preserve">| 10 | Среднесписочная численность работников, всего | человек |  |</w:t>
      </w:r>
    </w:p>
    <w:p>
      <w:r>
        <w:t xml:space="preserve">|  | В том числе: |  |  |</w:t>
      </w:r>
    </w:p>
    <w:p>
      <w:r>
        <w:t xml:space="preserve">| 10.1 | Производственного персонала | -//- |  |</w:t>
      </w:r>
    </w:p>
    <w:p>
      <w:r>
        <w:t xml:space="preserve">| 10.2 | Административного персонала | -//- |  |</w:t>
      </w:r>
    </w:p>
    <w:p>
      <w:r>
        <w:t xml:space="preserve">| 11 | Среднемесячная заработная плата, всего | тенге |  |</w:t>
      </w:r>
    </w:p>
    <w:p>
      <w:r>
        <w:t xml:space="preserve">|  | В том числе: |  |  |</w:t>
      </w:r>
    </w:p>
    <w:p>
      <w:r>
        <w:t xml:space="preserve">| 11.1 | Производственного персонала | -//- |  |</w:t>
      </w:r>
    </w:p>
    <w:p>
      <w:r>
        <w:t xml:space="preserve">| 11.2 | Административного персонала | -//- |  |</w:t>
      </w:r>
    </w:p>
    <w:p>
      <w:r>
        <w:t xml:space="preserve">| 12 | Капитальный ремонт | тысяч тенге |  |</w:t>
      </w:r>
    </w:p>
    <w:p>
      <w:r>
        <w:t xml:space="preserve">| 13 | Затраты, осуществляемые за счет прибыли (расшифровать) | -//- |  |</w:t>
      </w:r>
    </w:p>
    <w:p>
      <w:r>
        <w:t xml:space="preserve">| 14 | Ремонт, не приводящий к росту стоимости основных средств, всего | -//- |  |</w:t>
      </w:r>
    </w:p>
    <w:p>
      <w:r>
        <w:t xml:space="preserve">|  | В том числе: |  |  |</w:t>
      </w:r>
    </w:p>
    <w:p>
      <w:r>
        <w:t xml:space="preserve">| 14.1 | Материалы на ремонт | -//- |  |</w:t>
      </w:r>
    </w:p>
    <w:p>
      <w:r>
        <w:t xml:space="preserve">| 14.2 | Заработная плата | -//- |  |</w:t>
      </w:r>
    </w:p>
    <w:p>
      <w:r>
        <w:t xml:space="preserve">| 14.3 | Социальный налог и социальные отчисления, ОСМС | -//- |  |</w:t>
      </w:r>
    </w:p>
    <w:p>
      <w:pPr>
        <w:pStyle w:val="Heading2"/>
      </w:pPr>
      <w:r>
        <w:t xml:space="preserve">Текст</w:t>
      </w:r>
    </w:p>
    <w:p>
      <w:r>
        <w:t xml:space="preserve">Примечание:</w:t>
      </w:r>
    </w:p>
    <w:p>
      <w:pPr>
        <w:pStyle w:val="Heading2"/>
      </w:pPr>
      <w:r>
        <w:t xml:space="preserve">Текст</w:t>
      </w:r>
    </w:p>
    <w:p>
      <w:r>
        <w:t xml:space="preserve">*ГСМ – горюче-смазочные материалы;</w:t>
      </w:r>
    </w:p>
    <w:p>
      <w:pPr>
        <w:pStyle w:val="Heading2"/>
      </w:pPr>
      <w:r>
        <w:t xml:space="preserve">Текст</w:t>
      </w:r>
    </w:p>
    <w:p>
      <w:r>
        <w:t xml:space="preserve">ОСМС – обязательное социальное медицинское страхование.</w:t>
      </w:r>
    </w:p>
    <w:p>
      <w:pPr>
        <w:pStyle w:val="Heading2"/>
      </w:pPr>
      <w:r>
        <w:t xml:space="preserve">Текст</w:t>
      </w:r>
    </w:p>
    <w:p>
      <w:r>
        <w:t xml:space="preserve">Руководитель субъекта естественной монополии_____________________   Фамилия, имя, отчество (при его наличии) подпись</w:t>
      </w:r>
    </w:p>
    <w:p>
      <w:pPr>
        <w:pStyle w:val="Heading2"/>
      </w:pPr>
      <w:r>
        <w:t xml:space="preserve">Текст</w:t>
      </w:r>
    </w:p>
    <w:p>
      <w:r>
        <w:t xml:space="preserve">Дата "___" ______________ 20 года</w:t>
      </w:r>
    </w:p>
    <w:p>
      <w:r>
        <w:t xml:space="preserve">|  | Приложение 2 к Перечню |</w:t>
      </w:r>
    </w:p>
    <w:p>
      <w:r>
        <w:t xml:space="preserve">|---|---|</w:t>
      </w:r>
    </w:p>
    <w:p>
      <w:r>
        <w:t xml:space="preserve">|  | Приложение 1 к Правилам формирования тарифов |</w:t>
      </w:r>
    </w:p>
    <w:p>
      <w:r>
        <w:t xml:space="preserve">|  | Форма 12-1 |</w:t>
      </w:r>
    </w:p>
    <w:p>
      <w:pPr>
        <w:pStyle w:val="Heading2"/>
      </w:pPr>
      <w:r>
        <w:t xml:space="preserve">Глава Инвестиционная программа _________________________ (наименование субъекта естественной монополии), реализуемая в рамках национального проекта по модернизации энергетического и коммунального секторов ___________________________________________ (вид деятельности)</w:t>
      </w:r>
    </w:p>
    <w:p>
      <w:r>
        <w:t xml:space="preserve">| ИИН/БИН | 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Период инвестиционной программы: _________ 20__ – 20__ года</w:t>
      </w:r>
    </w:p>
    <w:p>
      <w:r>
        <w:t xml:space="preserve">| №п/п | Наименование мероприятий инвестиционной программы | Единица измерения | Количество | Сумма инвестиций, тысяч тенге (без налога на добавленную стоимость) | Источник финансирования, тысяч тенге |  |  |  |</w:t>
      </w:r>
    </w:p>
    <w:p>
      <w:r>
        <w:t xml:space="preserve">|---|---|---|---|---|---|---|---|---|</w:t>
      </w:r>
    </w:p>
    <w:p>
      <w:r>
        <w:t xml:space="preserve">| Собственные | Заемные | Бюджетные средства | Деятельность, не относящаяся к регулируемым услугам |  |  |  |  |  |</w:t>
      </w:r>
    </w:p>
    <w:p>
      <w:r>
        <w:t xml:space="preserve">| 1 | 2 | 3 | 4 | 5 | 6 | 7 | 8 | 9 |</w:t>
      </w:r>
    </w:p>
    <w:p>
      <w:pPr>
        <w:pStyle w:val="Heading2"/>
      </w:pPr>
      <w:r>
        <w:t xml:space="preserve">Текст</w:t>
      </w:r>
    </w:p>
    <w:p>
      <w:r>
        <w:t xml:space="preserve">Руководитель субъекта естественной монополии________________________________ Фамилия, имя, отчество (при его наличии) подпись</w:t>
      </w:r>
    </w:p>
    <w:p>
      <w:pPr>
        <w:pStyle w:val="Heading2"/>
      </w:pPr>
      <w:r>
        <w:t xml:space="preserve">Текст</w:t>
      </w:r>
    </w:p>
    <w:p>
      <w:r>
        <w:t xml:space="preserve">Дата "___" ______________ 20 года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