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30.04.2026. № 224818. редакция от 30.04.2026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актов Республики Казахстан за № 28577) следующие изменения:</w:t>
      </w:r>
    </w:p>
    <w:p>
      <w:r>
        <w:t xml:space="preserve">в Правилах формирования регулирующими государственными органами системы оценки и управления рисками, утвержденных указанным приказом:</w:t>
      </w:r>
    </w:p>
    <w:p>
      <w:r>
        <w:t xml:space="preserve">пункт 4 изложить в следующей редакции:</w:t>
      </w:r>
    </w:p>
    <w:p>
      <w:r>
        <w:t xml:space="preserve">"4. Критерии оценки степени риска и проверочные листы, применяемые для проведения профилактического контроля с посещением субъекта (объекта) контроля и надзора и (или) проверки на соответствие требованиям, утверждаются совместным актом регулирующих государственных органов, уполномоченного органа по предпринимательству и размещаются на интернет-ресурсах регулирующих государственных органов в соответствии с пунктом 5 статьи 141 Кодекса.</w:t>
      </w:r>
    </w:p>
    <w:p>
      <w:r>
        <w:t xml:space="preserve">Нормативные правовые акты государственных органов об утверждении критериев оценки степени риска и проверочных листов до их утверждения подлежат согласованию с уполномоченным органом по правовой статистике и специальным учетам на предмет соответствия требованиям цифровой системы – единого реестра субъектов и объектов проверок.</w:t>
      </w:r>
    </w:p>
    <w:p>
      <w:r>
        <w:t xml:space="preserve">Срок согласования уполномоченным органом по правовой статистике и специальным учетам составляет пять рабочих дней со дня поступления проекта на согласование.";</w:t>
      </w:r>
    </w:p>
    <w:p>
      <w:r>
        <w:t xml:space="preserve">пункт 17 изложить в следующей редакции:</w:t>
      </w:r>
    </w:p>
    <w:p>
      <w:r>
        <w:t xml:space="preserve">"17. Субъекты (объекты) контроля и надзора по субъективным критериям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и надзора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 надзора или проведения проверок на соответствие требованиям;</w:t>
      </w:r>
    </w:p>
    <w:p>
      <w:pPr>
        <w:pStyle w:val="Heading2"/>
      </w:pPr>
      <w:r>
        <w:t xml:space="preserve">Подпункт 3</w:t>
      </w:r>
    </w:p>
    <w:p>
      <w:r>
        <w:t xml:space="preserve">3)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организации.";</w:t>
      </w:r>
    </w:p>
    <w:p>
      <w:pPr>
        <w:pStyle w:val="Heading2"/>
      </w:pPr>
      <w:r>
        <w:t xml:space="preserve">Параграф 4 главы второй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"Параграф 4. Особенности формирования системы оценки и управления рисками для государственных органов</w:t>
      </w:r>
    </w:p>
    <w:p>
      <w:pPr>
        <w:pStyle w:val="Heading2"/>
      </w:pPr>
      <w:r>
        <w:t xml:space="preserve">Пункт 21</w:t>
      </w:r>
    </w:p>
    <w:p>
      <w:r>
        <w:t xml:space="preserve">21. Система оценки и управления рисками государственными органами ведется с использованием цифровых систем, относящих субъекты (объекты) контроля и надзора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цифровой системы оценки и управления рисками минимально допустимый порог количества субъектов (объектов) контроля и надзора, в отношении которых осуществляются профилактический контроль с посещением субъекта (объекта) контроля и надзора и (или) проверка на соответствие требованиям, не должен превышать пяти процентов от общего количества таких субъектов контроля и надзора в определенной сфере государственного контроля и надзора.</w:t>
      </w:r>
    </w:p>
    <w:p>
      <w:pPr>
        <w:pStyle w:val="Heading2"/>
      </w:pPr>
      <w:r>
        <w:t xml:space="preserve">Пункт 21-1</w:t>
      </w:r>
    </w:p>
    <w:p>
      <w:r>
        <w:t xml:space="preserve">21-1. Основанием для назначения проверки на соответствие требованиям является график.</w:t>
      </w:r>
    </w:p>
    <w:p>
      <w:r>
        <w:t xml:space="preserve">График формируется в цифровой системе оценки и управления рисками в автоматическом режиме указанной в критериях оценки степени риска регулирующих государственных органов на ежегодной основе в отношении субъектов (объектов) контроля и надзора с обязательным указанием субъектов (объектов) контроля и надзора, в отношении которых назначена проверка на соответствие требованиям.</w:t>
      </w:r>
    </w:p>
    <w:p>
      <w:r>
        <w:t xml:space="preserve">График проведения проверок на соответствие требованиям в срок до 10 декабря года, предшествующего году проведения проверок, направляется для опубликования на объекте цифровой инфраструктуры "цифрового правительства".</w:t>
      </w:r>
    </w:p>
    <w:p>
      <w:r>
        <w:t xml:space="preserve">График проведения проверок в сфере санитарно-эпидемиологического благополучия населения опубликовывается на объекте цифровой инфраструктуры "цифрового правительства" в срок до 25 декабря года, предшествующего году проведения проверок, и до 25 мая текущего календарного года.</w:t>
      </w:r>
    </w:p>
    <w:p>
      <w:pPr>
        <w:pStyle w:val="Heading2"/>
      </w:pPr>
      <w:r>
        <w:t xml:space="preserve">Пункт 21-2</w:t>
      </w:r>
    </w:p>
    <w:p>
      <w:r>
        <w:t xml:space="preserve">21-2. Для проведения профилактического контроля с посещением субъекта (объекта) контроля и надзора регулирующие государственные органы разрабатывают и совместно с уполномоченным органом по предпринимательству утверждают акты, касающиеся критериев оценки степени риска для отбора субъектов (объектов) контроля и надзора, проверочных листов, которые размещаются на объекте цифровой инфраструктуры "цифрового правительства".</w:t>
      </w:r>
    </w:p>
    <w:p>
      <w:r>
        <w:t xml:space="preserve">При наличии у органа контроля и надзора цифровой системы оценки и управления рисками, содержащей автоматизированную систему оценки и управления рисками, полугодовые списки проведения профилактического контроля с посещением субъекта (объекта) контроля и надзора в обязательном порядке размещаются на объекте цифровой инфраструктуры "цифрового правительства".</w:t>
      </w:r>
    </w:p>
    <w:p>
      <w:pPr>
        <w:pStyle w:val="Heading2"/>
      </w:pPr>
      <w:r>
        <w:t xml:space="preserve">Пункт 22</w:t>
      </w:r>
    </w:p>
    <w:p>
      <w:r>
        <w:t xml:space="preserve">22. При формировании системы оценки рисков для государственных органов, использующих цифровые системы, с учетом специфики и конфиденциальности в соответствии с законодательными актами Республики Казахстан, расчет показателя степени риска по субъективным критериям, а также показатели степени риска, в соответствии с которыми субъект контроля и надзора относится к высокой, средней или низкой степеням риска, устанавливаются в критериях оценки степени риска регулирующего государственного органа согласно перечню субъективных критериев для определения степени риска по субъективным критериям по форме согласно приложению к настоящим Правилам.</w:t>
      </w:r>
    </w:p>
    <w:p>
      <w:pPr>
        <w:pStyle w:val="Heading2"/>
      </w:pPr>
      <w:r>
        <w:t xml:space="preserve">Пункт 23</w:t>
      </w:r>
    </w:p>
    <w:p>
      <w:r>
        <w:t xml:space="preserve">23. Критерии оценки степени риска согласовываются с уполномоченным органом по правовой статистике и специальным учетам на предмет соответствия требованиям цифровой системы – единого реестра субъектов и объектов проверок.</w:t>
      </w:r>
    </w:p>
    <w:p>
      <w:r>
        <w:t xml:space="preserve">Срок согласования уполномоченным органом по правовой статистике и специальным учетам составляет пять рабочих дней со дня поступления проекта на согласование.".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