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национальной экономики Республики Казахстан от 19 ноября 2019 года № 90 "Об утверждении Правил формирования тарифов"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28.04.2026. № 224716. редакция от 28.04.2026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следующие изменения:</w:t>
      </w:r>
    </w:p>
    <w:p>
      <w:r>
        <w:t xml:space="preserve">в Правилах формирования тарифов, утвержденных указанным приказом:</w:t>
      </w:r>
    </w:p>
    <w:p>
      <w:r>
        <w:t xml:space="preserve">подпункт 10) пункта 10 изложить в следующей редакции:</w:t>
      </w:r>
    </w:p>
    <w:p>
      <w:r>
        <w:t xml:space="preserve">"10) особенности определения тарифа по стимулирующему методу тарифного регулирования для субъектов, оказывающих регулируемые услуги в сферах передачи электрической энергии, водоснабжения и (или) водоотведения, производства, передачи, распределения и (или) снабжения тепловой энергии,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Казахстан,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Казахстан.</w:t>
      </w:r>
    </w:p>
    <w:p>
      <w:r>
        <w:t xml:space="preserve">Формирование и утверждение тарифов с применением стимулирующего метода тарифного регулирования субъектов, оказывающих регулируемые услуги в сферах передачи электрической энергии, водоснабжения и (или) водоотведения, производства, передачи, распределения и (или) снабжения тепловой энергии,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Казахстан,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 осуществляется в соответствии с Параграфом 3-1 Главы 2 настоящих Правил.";</w:t>
      </w:r>
    </w:p>
    <w:p>
      <w:r>
        <w:t xml:space="preserve">пункт 48 изложить в следующей редакции:</w:t>
      </w:r>
    </w:p>
    <w:p>
      <w:r>
        <w:t xml:space="preserve">"48. Настоящий Механизм расчета тарифа с учетом методов тарифного регулирования сфер естественных монополий определяет:</w:t>
      </w:r>
    </w:p>
    <w:p>
      <w:r>
        <w:t xml:space="preserve">расчет тарифа с учетом затратного метода тарифного регулирования сфер естественных монополий;</w:t>
      </w:r>
    </w:p>
    <w:p>
      <w:r>
        <w:t xml:space="preserve">расчет тарифа с учетом стимулирующего метода тарифного регулирования сфер естественных монополий;</w:t>
      </w:r>
    </w:p>
    <w:p>
      <w:r>
        <w:t xml:space="preserve">расчет тарифа с учетом стимулирующего метода тарифного регулирования на регулируемые услуги в сферах по передаче электрической энергии, водоснабжению и (или) водоотведению, производству, передаче, распределению и (или) реализации тепловой энергии,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 и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Казахстан;</w:t>
      </w:r>
    </w:p>
    <w:p>
      <w:r>
        <w:t xml:space="preserve">расчет тарифа с учетом применения метода индексации;</w:t>
      </w:r>
    </w:p>
    <w:p>
      <w:r>
        <w:t xml:space="preserve">расчет тарифа с учетом применения метода определении тарифа на основании заключенного договора государственно-частного партнерства.";</w:t>
      </w:r>
    </w:p>
    <w:p>
      <w:r>
        <w:t xml:space="preserve">заголовок параграфа 3-1 изложить в следующей редакции:</w:t>
      </w:r>
    </w:p>
    <w:p>
      <w:r>
        <w:t xml:space="preserve">"Параграф 3-1. Расчет тарифа с учетом стимулирующего метода тарифного регулирования на регулируемые услуги в сферах по передаче электрической энергии, водоснабжению и (или) водоотведению, производству, передаче, распределению и (или) снабжению тепловой энергией,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 и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Казахстан";</w:t>
      </w:r>
    </w:p>
    <w:p>
      <w:r>
        <w:t xml:space="preserve">заголовок раздела 1 параграфа 3-1 изложить в следующей редакции:</w:t>
      </w:r>
    </w:p>
    <w:p>
      <w:r>
        <w:t xml:space="preserve">"Раздел 1. Особенности расчета тарифа с учетом стимулирующего метода тарифного регулирования на регулируемые услуги в сферах по передаче электрической энергии, водоснабжению и (или) водоотведению, производству, передаче, распределению и (или) снабжению тепловой энергией,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 и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Казахстан";</w:t>
      </w:r>
    </w:p>
    <w:p>
      <w:r>
        <w:t xml:space="preserve">пункт 208-1 изложить в следующей редакции:</w:t>
      </w:r>
    </w:p>
    <w:p>
      <w:r>
        <w:t xml:space="preserve">"208-1. Настоящий стимулирующий метод распространяется на субъектов, оказывающих регулируемые услуги в сферах по передаче электрической энергии, водоснабжению и (или) водоотведению, транспортировке нефти и (или) нефтепродуктов по магистральным трубопроводам, за исключением их транспортировки в целях транзита через территорию Республики Казахстан и экспорта за пределы Республики Казахстан, магистральных железнодорожных сетей, за исключением регулируемых услуг магистральной железнодорожной сети при перевозке грузов в контейнерах, перевозке порожних контейнеров и транзитных перевозках грузов через территорию Республики Казахстан, а также по производству, передаче, распределению и (или) снабжению тепловой энергией, за исключением тепловой энергии, выработанной с использованием тепла грунта, грунтовых вод, рек, водоемов, сбросной воды промышленных предприятий и электростанций, канализационно-очистных сооружений.";</w:t>
      </w:r>
    </w:p>
    <w:p>
      <w:r>
        <w:t xml:space="preserve">пункт 208-126 изложить в следующей редакции:</w:t>
      </w:r>
    </w:p>
    <w:p>
      <w:r>
        <w:t xml:space="preserve">"208-126. В каждом году регуляторного периода применяется механизм стимулирования производительности и эффективности, целью которого является стимулирование субъекта к достижению показателей качества и надежности, в том числе, с учетом инновационных решений.</w:t>
      </w:r>
    </w:p>
    <w:p>
      <w:r>
        <w:t xml:space="preserve">Ведомство уполномоченного органа совместно с государственным органом, осуществляющим руководство в соответствующих отраслях, и (или) местным исполнительным органом участвуют в установлении показателей качества, надежности регулируемых услуг и эффективности деятельности субъектов, предусмотренных пунктами 208-131, 208-132, 208-133, 208-134 и 208-135 настоящих Правил.";</w:t>
      </w:r>
    </w:p>
    <w:p>
      <w:r>
        <w:t xml:space="preserve">пункт 208-130 изложить в следующей редакции:</w:t>
      </w:r>
    </w:p>
    <w:p>
      <w:r>
        <w:t xml:space="preserve">"208-130. Ведомство уполномоченного органа устанавливает весовые коэффициенты к показателям качества и надежности, определенным в пунктах 208-131, 208-132, 208-133, 208-134 и 208-135 настоящих Правил для измерения эффективности и производительности в течение всего регуляторного периода.";</w:t>
      </w:r>
    </w:p>
    <w:p>
      <w:r>
        <w:t xml:space="preserve">пункты 208-135 , 208-136 , 208-137 , 208-138 и 208-139 изложить в следующей редакции:</w:t>
      </w:r>
    </w:p>
    <w:p>
      <w:r>
        <w:t xml:space="preserve">"208-135. Ведомство уполномоченного органа для субъектов, оказывающих на регулируемую услугу в сфере магистральных железнодорожных сетей, за исключением регулируемых услуг при перевозке грузов в контейнерах, перевозке порожних контейнеров и транзитных перевозках грузов через территорию Республики Казахстан, за регуляторный период, устанавливает весовые коэффициенты для следующих показателей качества и надежности:</w:t>
      </w:r>
    </w:p>
    <w:p>
      <w:pPr>
        <w:pStyle w:val="Heading2"/>
      </w:pPr>
      <w:r>
        <w:t xml:space="preserve">Подпункт 1</w:t>
      </w:r>
    </w:p>
    <w:p>
      <w:r>
        <w:t xml:space="preserve">1) выполнение объема оказанной за год регулируемой услуги в грузовом движении;</w:t>
      </w:r>
    </w:p>
    <w:p>
      <w:pPr>
        <w:pStyle w:val="Heading2"/>
      </w:pPr>
      <w:r>
        <w:t xml:space="preserve">Подпункт 2</w:t>
      </w:r>
    </w:p>
    <w:p>
      <w:r>
        <w:t xml:space="preserve">2) снижение износа основных средств;</w:t>
      </w:r>
    </w:p>
    <w:p>
      <w:pPr>
        <w:pStyle w:val="Heading2"/>
      </w:pPr>
      <w:r>
        <w:t xml:space="preserve">Подпункт 3</w:t>
      </w:r>
    </w:p>
    <w:p>
      <w:r>
        <w:t xml:space="preserve">3) увеличение длины бесстыкового пути;</w:t>
      </w:r>
    </w:p>
    <w:p>
      <w:pPr>
        <w:pStyle w:val="Heading2"/>
      </w:pPr>
      <w:r>
        <w:t xml:space="preserve">Подпункт 4</w:t>
      </w:r>
    </w:p>
    <w:p>
      <w:r>
        <w:t xml:space="preserve">4) количество нарушений законодательства в сфере естественных монополий, единиц;</w:t>
      </w:r>
    </w:p>
    <w:p>
      <w:pPr>
        <w:pStyle w:val="Heading2"/>
      </w:pPr>
      <w:r>
        <w:t xml:space="preserve">Подпункт 5</w:t>
      </w:r>
    </w:p>
    <w:p>
      <w:r>
        <w:t xml:space="preserve">5) своевременное выполнение мероприятий, предусмотренных инвестиционной программой;</w:t>
      </w:r>
    </w:p>
    <w:p>
      <w:pPr>
        <w:pStyle w:val="Heading2"/>
      </w:pPr>
      <w:r>
        <w:t xml:space="preserve">Подпункт 6</w:t>
      </w:r>
    </w:p>
    <w:p>
      <w:r>
        <w:t xml:space="preserve">6) выполнение плана капитального ремонта пути;</w:t>
      </w:r>
    </w:p>
    <w:p>
      <w:pPr>
        <w:pStyle w:val="Heading2"/>
      </w:pPr>
      <w:r>
        <w:t xml:space="preserve">Подпункт 7</w:t>
      </w:r>
    </w:p>
    <w:p>
      <w:r>
        <w:t xml:space="preserve">7) соблюдение сроков рассмотрения субъектом заявки потребителя на получение доступа к услугам магистральной железнодорожной сети с момента предоставления такой заявки потребителем;</w:t>
      </w:r>
    </w:p>
    <w:p>
      <w:pPr>
        <w:pStyle w:val="Heading2"/>
      </w:pPr>
      <w:r>
        <w:t xml:space="preserve">Подпункт 8</w:t>
      </w:r>
    </w:p>
    <w:p>
      <w:r>
        <w:t xml:space="preserve">8) соблюдение сроков заключения договора с перевозчиками на оказание услуг магистральной железнодорожной сети;</w:t>
      </w:r>
    </w:p>
    <w:p>
      <w:pPr>
        <w:pStyle w:val="Heading2"/>
      </w:pPr>
      <w:r>
        <w:t xml:space="preserve">Подпункт 9</w:t>
      </w:r>
    </w:p>
    <w:p>
      <w:r>
        <w:t xml:space="preserve">9) коэффициент несчастных случаев с потерей трудоспособности (взятых на учет) LTIR;</w:t>
      </w:r>
    </w:p>
    <w:p>
      <w:pPr>
        <w:pStyle w:val="Heading2"/>
      </w:pPr>
      <w:r>
        <w:t xml:space="preserve">Подпункт 10</w:t>
      </w:r>
    </w:p>
    <w:p>
      <w:r>
        <w:t xml:space="preserve">10) соблюдение уровня безопасности движения;</w:t>
      </w:r>
    </w:p>
    <w:p>
      <w:pPr>
        <w:pStyle w:val="Heading2"/>
      </w:pPr>
      <w:r>
        <w:t xml:space="preserve">Подпункт 11</w:t>
      </w:r>
    </w:p>
    <w:p>
      <w:r>
        <w:t xml:space="preserve">11) уровень социальной стабильности согласно рейтингу ESG.";</w:t>
      </w:r>
    </w:p>
    <w:p>
      <w:pPr>
        <w:pStyle w:val="Heading2"/>
      </w:pPr>
      <w:r>
        <w:t xml:space="preserve">Пункт 208-136</w:t>
      </w:r>
    </w:p>
    <w:p>
      <w:r>
        <w:t xml:space="preserve">208-136. Ведомство уполномоченного органа при определении для субъекта весовых коэффициентов показателей качества и надежности учитывает следующие приоритеты:</w:t>
      </w:r>
    </w:p>
    <w:p>
      <w:pPr>
        <w:pStyle w:val="Heading2"/>
      </w:pPr>
      <w:r>
        <w:t xml:space="preserve">Подпункт 1</w:t>
      </w:r>
    </w:p>
    <w:p>
      <w:r>
        <w:t xml:space="preserve">1) цели для соответствующего сектора (отрасли), установленные Президентом Республики Казахстан, Правительством Республики Казахстан, ведомством уполномоченного органа и (или) документом Системы государственного планирования;</w:t>
      </w:r>
    </w:p>
    <w:p>
      <w:pPr>
        <w:pStyle w:val="Heading2"/>
      </w:pPr>
      <w:r>
        <w:t xml:space="preserve">Подпункт 2</w:t>
      </w:r>
    </w:p>
    <w:p>
      <w:r>
        <w:t xml:space="preserve">2) наличие данных или процессов, необходимых для получения данных, необходимых для оценки результатов деятельности по соответствующему показателю качества и надежности;</w:t>
      </w:r>
    </w:p>
    <w:p>
      <w:pPr>
        <w:pStyle w:val="Heading2"/>
      </w:pPr>
      <w:r>
        <w:t xml:space="preserve">Подпункт 3</w:t>
      </w:r>
    </w:p>
    <w:p>
      <w:r>
        <w:t xml:space="preserve">3) инвестиции субъекта;</w:t>
      </w:r>
    </w:p>
    <w:p>
      <w:pPr>
        <w:pStyle w:val="Heading2"/>
      </w:pPr>
      <w:r>
        <w:t xml:space="preserve">Подпункт 4</w:t>
      </w:r>
    </w:p>
    <w:p>
      <w:r>
        <w:t xml:space="preserve">4) поддержку методов производительности и стимулирования, которые действуют более одного регуляторного периода, путем минимизации изменений показателей качества и надежности, выбранных для субъекта в каждом регуляторном периоде;</w:t>
      </w:r>
    </w:p>
    <w:p>
      <w:pPr>
        <w:pStyle w:val="Heading2"/>
      </w:pPr>
      <w:r>
        <w:t xml:space="preserve">Подпункт 5</w:t>
      </w:r>
    </w:p>
    <w:p>
      <w:r>
        <w:t xml:space="preserve">5) внедрение инновационных решений в предприятиях по регулируемой услуге.</w:t>
      </w:r>
    </w:p>
    <w:p>
      <w:pPr>
        <w:pStyle w:val="Heading2"/>
      </w:pPr>
      <w:r>
        <w:t xml:space="preserve">Пункт 208-137</w:t>
      </w:r>
    </w:p>
    <w:p>
      <w:r>
        <w:t xml:space="preserve">208-137. Ведомство уполномоченного органа устанавливает весовые коэффициенты к каждому показателю качества и надежности для целей расчета штрафов субъекта.</w:t>
      </w:r>
    </w:p>
    <w:p>
      <w:r>
        <w:t xml:space="preserve">При утверждении показателей качества и надежности ведомство уполномоченного органа определяет отрицательные показатели, соответствующие для улучшения оказания регулируемой услуги Субъекта.</w:t>
      </w:r>
    </w:p>
    <w:p>
      <w:pPr>
        <w:pStyle w:val="Heading2"/>
      </w:pPr>
      <w:r>
        <w:t xml:space="preserve">Пункт 208-138</w:t>
      </w:r>
    </w:p>
    <w:p>
      <w:r>
        <w:t xml:space="preserve">208-138. Сумма весовых коэффициентов по всем показателям качества и надежности, указанных в пунктах 208-131, 208-132, 208-133 и 208-134 настоящих Правил для субъекта равна 100 %.</w:t>
      </w:r>
    </w:p>
    <w:p>
      <w:r>
        <w:t xml:space="preserve">Если Субъектом представлен не полный список показателей качества и надежности Субъект предоставляет в ведомство уполномоченного органа анализ и/или расчеты о не учтенных показателях для включения их весовых долей на утвержденные показатели качества и надежности.</w:t>
      </w:r>
    </w:p>
    <w:p>
      <w:r>
        <w:t xml:space="preserve">При отсутствии анализа и/или расчетов о не учтенных показателях ведомство уполномоченного органа исключает долю каждого не учтенного показателя качества и надежности от всех весовых коэффициентов в размере 10 %.</w:t>
      </w:r>
    </w:p>
    <w:p>
      <w:r>
        <w:t xml:space="preserve">При определении весового коэффициента ведомство уполномоченного органа рассчитывает показатель качества и надежности по следующей приоритетности:</w:t>
      </w:r>
    </w:p>
    <w:p>
      <w:pPr>
        <w:pStyle w:val="Heading2"/>
      </w:pPr>
      <w:r>
        <w:t xml:space="preserve">Подпункт 1</w:t>
      </w:r>
    </w:p>
    <w:p>
      <w:r>
        <w:t xml:space="preserve">1) менее приоритетный показатель, приравненный Х, при этом величина показателя составляет не менее 1 %, но не более 2 %;</w:t>
      </w:r>
    </w:p>
    <w:p>
      <w:pPr>
        <w:pStyle w:val="Heading2"/>
      </w:pPr>
      <w:r>
        <w:t xml:space="preserve">Подпункт 2</w:t>
      </w:r>
    </w:p>
    <w:p>
      <w:r>
        <w:t xml:space="preserve">2) следующий показатель за менее приоритетным показателем равно Х+У, при этом величина показателя У составляет не менее 1 %, но не более 2 %;</w:t>
      </w:r>
    </w:p>
    <w:p>
      <w:pPr>
        <w:pStyle w:val="Heading2"/>
      </w:pPr>
      <w:r>
        <w:t xml:space="preserve">Подпункт 3</w:t>
      </w:r>
    </w:p>
    <w:p>
      <w:r>
        <w:t xml:space="preserve">3) наиболее приоритетных два показателя (Х+У)*К, где величина К равна количеству показателям качества и надежности.</w:t>
      </w:r>
    </w:p>
    <w:p>
      <w:r>
        <w:t xml:space="preserve">По оставшимся показателям качества и надежности весовой коэффициент распределяется равномерно по остаточному принципу, который не превышает наиболее приоритетные два показателя.";</w:t>
      </w:r>
    </w:p>
    <w:p>
      <w:r>
        <w:t xml:space="preserve">пункт 208-139 изложить в следующей редакции:</w:t>
      </w:r>
    </w:p>
    <w:p>
      <w:r>
        <w:t xml:space="preserve">"208-139. При установлении весовых коэффициентов показателей качества и надежности для субъекта ведомство уполномоченного органа учитывает относительную важность показателя качества и надежности, в соответствии с пунктом 208-136 настоящих Правил.</w:t>
      </w:r>
    </w:p>
    <w:p>
      <w:r>
        <w:t xml:space="preserve">Ведомство уполномоченного органа меняет весовые коэффициенты, применяемые к отдельным показателям качества и надежности в пределах определенного регуляторного периода, исходя из необходимости разработки процедур сбора, мониторинга и проверки показателя качества и надежности, и наличия ресурсов в субъектах.</w:t>
      </w:r>
    </w:p>
    <w:p>
      <w:r>
        <w:t xml:space="preserve">При изменении весовых коэффициентов показателя качества и надежности на определенный регуляторный период ведомство уполномоченного органа основывается на общих для субъектов подходах.".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 - 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