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24 ноября 2020 года №ҚР ДСМ-201/2020 "Об утверждении правил прохождения прижизненным донором органов (части органа) и (или) тканей (части ткани) всестороннего медицинского обследования"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30.10.2025. № 216272. редакция от 30.10.2025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Министерства здравоохранения Республики Казахстан от 24 ноября 2020 года № ҚР ДСМ-201/2020 "Об утверждении правил прохождения прижизненным донором органов (части органа) и (или) тканей (части ткани) всестороннего медицинского обследования" (зарегистрирован в Реестре государственной регистрации нормативных правовых актов под № 21677)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c пунктом 3 статьи 210 Кодекса Республики Казахстан "О здоровье народа и системе здравоохранения" ПРИКАЗЫВАЮ: ";</w:t>
      </w:r>
    </w:p>
    <w:p>
      <w:r>
        <w:t xml:space="preserve">в правилах прохождения прижизненным донором органов (части органа) и (или) тканей (части ткани) всестороннего медицинского обследования,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прохождения прижизненным донором органов (части органа) и (или) тканей (части ткани) всестороннего медицинского обследования (далее – Правила) разработаны в соответствии пунктом 3 статьи 210 Кодекса Республики Казахстан "О здоровье народа и системе здравоохранения" (далее – Кодекс) и устанавливают порядок прохождения прижизненным донором органов (части органа) и (или) тканей (части ткани) всестороннего медицинского обследования.";</w:t>
      </w:r>
    </w:p>
    <w:p>
      <w:r>
        <w:t xml:space="preserve">пункт 3 изложить в следующей редакции:</w:t>
      </w:r>
    </w:p>
    <w:p>
      <w:r>
        <w:t xml:space="preserve">"3. Прижизненный донор предоставляет в организацию здравоохранения, оказывающую услугу по трансплантации, следующие документы с целью дальнейшей трансплантации:</w:t>
      </w:r>
    </w:p>
    <w:p>
      <w:pPr>
        <w:pStyle w:val="Heading2"/>
      </w:pPr>
      <w:r>
        <w:t xml:space="preserve">Подпункт 1</w:t>
      </w:r>
    </w:p>
    <w:p>
      <w:r>
        <w:t xml:space="preserve">1) письменное нотариально удостоверенное согласие на изъятие органов (части органа) и (или) тканей (части ткани);</w:t>
      </w:r>
    </w:p>
    <w:p>
      <w:pPr>
        <w:pStyle w:val="Heading2"/>
      </w:pPr>
      <w:r>
        <w:t xml:space="preserve">Подпункт 2</w:t>
      </w:r>
    </w:p>
    <w:p>
      <w:r>
        <w:t xml:space="preserve">2) протокол этической комиссии об установлении генетической связи между потенциальным реципиентом и прижизненным донором.".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