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сельского хозяйства Республики Казахстан от 29 июля 2019 года № 280 "Об утверждении Типовых правил реализации механизмов стабилизации цен на социально значимые продовольственные товары"</w:t>
      </w:r>
    </w:p>
    <w:p>
      <w:r>
        <w:t xml:space="preserve">Приказ, Изменения. Министерство сельского хозяйства Республики Казахстан. от 10.09.2025. № 214110. редакция от 10.09.2025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сельского хозяйства Республики Казахстан от 29 июля 2019 года № 280 "Об утверждении Типовых правил реализации механизмов стабилизации цен на социально значимые продовольственные товары" (зарегистрирован в Реестре государственной регистрации нормативных правовых актов № 19123) следующие изменения:</w:t>
      </w:r>
    </w:p>
    <w:p>
      <w:r>
        <w:t xml:space="preserve">в Типовых правилах реализации механизмов стабилизации цен на социально значимые продовольственные товары, утвержденных указанным приказом:</w:t>
      </w:r>
    </w:p>
    <w:p>
      <w:r>
        <w:t xml:space="preserve">пункт 21 изложить в следующей редакции:</w:t>
      </w:r>
    </w:p>
    <w:p>
      <w:r>
        <w:t xml:space="preserve">"21. При формировании регионального стабилизационного фонда приобретение социально значимых продовольственных товаров осуществляется непосредственно у производителей, в том числе путем заключения форвардных договоров и офтейк-контрактов. В случае, если производителем напрямую не осуществляется реализация продукции, приобретение социально значимых продовольственных товаров осуществляется у оптовых поставщиков (дистрибьютеров), специализирующихся на реализации продовольственных товаров, а также у специализированной организации.";</w:t>
      </w:r>
    </w:p>
    <w:p>
      <w:pPr>
        <w:pStyle w:val="Heading2"/>
      </w:pPr>
      <w:r>
        <w:t xml:space="preserve">Приложение приложение к указанным Типовым правилам изложить в новой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агропродовольственных рынков и переработки сельскохозяйственной продукции Министерства сельского хозяйства Республики Казахстан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сельского хозяйства Республики Казахстан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сельского хозяйства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после дня его первого официального опубликования.</w:t>
      </w:r>
    </w:p>
    <w:p>
      <w:r>
        <w:t xml:space="preserve">| Министр сельского хозяйства Республики Казахстан | А. Сапаров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финансов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торговли и интеграции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Бюро национальной статистики Агентства по стратегическому планированию и реформам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национальной экономики Республики Казахстан</w:t>
      </w:r>
    </w:p>
    <w:p>
      <w:r>
        <w:t xml:space="preserve">|  | Приложение к приказу Министр сельского хозяйства Республики Казахстан от 10 сентября 2025 года № 288 |</w:t>
      </w:r>
    </w:p>
    <w:p>
      <w:r>
        <w:t xml:space="preserve">|---|---|</w:t>
      </w:r>
    </w:p>
    <w:p>
      <w:r>
        <w:t xml:space="preserve">|  | Приложение к Типовым правилам реализации механизмов стабилизации цен на социально значимые продовольственные товары |</w:t>
      </w:r>
    </w:p>
    <w:p>
      <w:r>
        <w:t xml:space="preserve">|  | Форма |</w:t>
      </w:r>
    </w:p>
    <w:p>
      <w:pPr>
        <w:pStyle w:val="Heading2"/>
      </w:pPr>
      <w:r>
        <w:t xml:space="preserve">Глава Форма, предназначенная для сбора административных данных</w:t>
      </w:r>
    </w:p>
    <w:p>
      <w:pPr>
        <w:pStyle w:val="Heading2"/>
      </w:pPr>
      <w:r>
        <w:t xml:space="preserve">Текст</w:t>
      </w:r>
    </w:p>
    <w:p>
      <w:r>
        <w:t xml:space="preserve">Представляется: в министерства сельского хозяйства и торговли и интеграции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Форма, предназначенная для сбора административных данных на безвозмездной основе размещена на интернет-ресурсе: www.gov.kz</w:t>
      </w:r>
    </w:p>
    <w:p>
      <w:pPr>
        <w:pStyle w:val="Heading2"/>
      </w:pPr>
      <w:r>
        <w:t xml:space="preserve">Текст</w:t>
      </w:r>
    </w:p>
    <w:p>
      <w:r>
        <w:t xml:space="preserve">Наименование административной формы: Информация о ходе реализации механизмов стабилизации цен на социально значимые продовольственные товары</w:t>
      </w:r>
    </w:p>
    <w:p>
      <w:pPr>
        <w:pStyle w:val="Heading2"/>
      </w:pPr>
      <w:r>
        <w:t xml:space="preserve">Текст</w:t>
      </w:r>
    </w:p>
    <w:p>
      <w:r>
        <w:t xml:space="preserve">Индекс формы, предназначенной для сбора административных данных на безвозмездной основе: форма № 1-СЗПТ</w:t>
      </w:r>
    </w:p>
    <w:p>
      <w:pPr>
        <w:pStyle w:val="Heading2"/>
      </w:pPr>
      <w:r>
        <w:t xml:space="preserve">Текст</w:t>
      </w:r>
    </w:p>
    <w:p>
      <w:r>
        <w:t xml:space="preserve">Периодичность: еженедельно</w:t>
      </w:r>
    </w:p>
    <w:p>
      <w:pPr>
        <w:pStyle w:val="Heading2"/>
      </w:pPr>
      <w:r>
        <w:t xml:space="preserve">Текст</w:t>
      </w:r>
    </w:p>
    <w:p>
      <w:r>
        <w:t xml:space="preserve">Отчетный период: _______20___года</w:t>
      </w:r>
    </w:p>
    <w:p>
      <w:pPr>
        <w:pStyle w:val="Heading2"/>
      </w:pPr>
      <w:r>
        <w:t xml:space="preserve">Текст</w:t>
      </w:r>
    </w:p>
    <w:p>
      <w:r>
        <w:t xml:space="preserve">Круг лиц, представляющих форму, предназначенную для сбора административных данных на безвозмездной основе: специализированные организации, реализующие механизмы стабилизации цен на социально значимые продовольственные товары, за исключением мер по установлению предельных цен на социально значимые продовольственные товары (далее – специализированные организации), местные исполнительные органы областей, городов республиканского значения, столицы</w:t>
      </w:r>
    </w:p>
    <w:p>
      <w:pPr>
        <w:pStyle w:val="Heading2"/>
      </w:pPr>
      <w:r>
        <w:t xml:space="preserve">Текст</w:t>
      </w:r>
    </w:p>
    <w:p>
      <w:r>
        <w:t xml:space="preserve">Срок представления формы, предназначенной для сбора административных данных на безвозмездной основе:</w:t>
      </w:r>
    </w:p>
    <w:p>
      <w:pPr>
        <w:pStyle w:val="Heading2"/>
      </w:pPr>
      <w:r>
        <w:t xml:space="preserve">Текст</w:t>
      </w:r>
    </w:p>
    <w:p>
      <w:r>
        <w:t xml:space="preserve">специализированными организациями в местные исполнительные органы областей, городов республиканского значения, столицы, еженедельно по средам;</w:t>
      </w:r>
    </w:p>
    <w:p>
      <w:pPr>
        <w:pStyle w:val="Heading2"/>
      </w:pPr>
      <w:r>
        <w:t xml:space="preserve">Текст</w:t>
      </w:r>
    </w:p>
    <w:p>
      <w:r>
        <w:t xml:space="preserve">местными исполнительными органами областей, городов республиканского значения, столицы в министерства сельского хозяйства и торговли и интеграции Республики Казахстан, еженедельно по четвергам;</w:t>
      </w:r>
    </w:p>
    <w:p>
      <w:r>
        <w:t xml:space="preserve">| Бизнес-идентификационный номер | 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Метод сбора: в электронном виде</w:t>
      </w:r>
    </w:p>
    <w:p>
      <w:r>
        <w:t xml:space="preserve">| № № | Наименование товара | Закуплены товары |  |  |  |  |  |  |  |  |  |  |  |</w:t>
      </w:r>
    </w:p>
    <w:p>
      <w:r>
        <w:t xml:space="preserve">|---|---|---|---|---|---|---|---|---|---|---|---|---|---|</w:t>
      </w:r>
    </w:p>
    <w:p>
      <w:r>
        <w:t xml:space="preserve">| прямой | в рамках форвардных договоров и офтейк-контрактов | по предоставленным займам |  |  |  |  |  |  |  |  |  |  |  |</w:t>
      </w:r>
    </w:p>
    <w:p>
      <w:r>
        <w:t xml:space="preserve">| сельскохозяйственные товаропроизводители и перерабатывающие предприятия | оптовые поставщики (дистрибьютеры), специализирующие на реализации продовольственных товаров | сельскохозяйственные товаропроизводители и перерабатывающие предприятия | оптовые поставщики (дистрибьютеры), специализирующие на реализации продовольственных товаров | сельскохозяйственные товаропроизводители и перерабатывающие предприятия | субъекты предпринимательства, осуществляющие реализацию продовольственных товаров |  |  |  |  |  |  |  |  |</w:t>
      </w:r>
    </w:p>
    <w:p>
      <w:r>
        <w:t xml:space="preserve">| ттонна | ттысяч тенге | ттонна | ттысяч тенге | ттонна | ттысяч тенге | ттонна | ттысяч тенге | ттонна | ттысяч тенге | ттонна | ттысяч тенге |  |  |</w:t>
      </w:r>
    </w:p>
    <w:p>
      <w:r>
        <w:t xml:space="preserve">| 11 | 2 | 3 | 4 | 5 | 6 | 7 | 8 |  |  |  |  |  |  |</w:t>
      </w:r>
    </w:p>
    <w:p>
      <w:r>
        <w:t xml:space="preserve">| 11 | Говядина |  |  |  |  |  |  |  |  |  |  |  |  |</w:t>
      </w:r>
    </w:p>
    <w:p>
      <w:r>
        <w:t xml:space="preserve">| 2 2 | Крупа гречневая |  |  |  |  |  |  |  |  |  |  |  |  |</w:t>
      </w:r>
    </w:p>
    <w:p>
      <w:r>
        <w:t xml:space="preserve">| 3 | Капуста |  |  |  |  |  |  |  |  |  |  |  |  |</w:t>
      </w:r>
    </w:p>
    <w:p>
      <w:r>
        <w:t xml:space="preserve">| 54 | Картофель |  |  |  |  |  |  |  |  |  |  |  |  |</w:t>
      </w:r>
    </w:p>
    <w:p>
      <w:r>
        <w:t xml:space="preserve">| 5 | Кефир |  |  |  |  |  |  |  |  |  |  |  |  |</w:t>
      </w:r>
    </w:p>
    <w:p>
      <w:r>
        <w:t xml:space="preserve">| 6 6 | Лук репчатый |  |  |  |  |  |  |  |  |  |  |  |  |</w:t>
      </w:r>
    </w:p>
    <w:p>
      <w:r>
        <w:t xml:space="preserve">| 7 | Рожки |  |  |  |  |  |  |  |  |  |  |  |  |</w:t>
      </w:r>
    </w:p>
    <w:p>
      <w:r>
        <w:t xml:space="preserve">| 8 8 | Масло подсолнечное |  |  |  |  |  |  |  |  |  |  |  |  |</w:t>
      </w:r>
    </w:p>
    <w:p>
      <w:r>
        <w:t xml:space="preserve">| 89 | Масло сливочное |  |  |  |  |  |  |  |  |  |  |  |  |</w:t>
      </w:r>
    </w:p>
    <w:p>
      <w:r>
        <w:t xml:space="preserve">| 10 | Молоко |  |  |  |  |  |  |  |  |  |  |  |  |</w:t>
      </w:r>
    </w:p>
    <w:p>
      <w:r>
        <w:t xml:space="preserve">| 1 11 | Морковь столовая |  |  |  |  |  |  |  |  |  |  |  |  |</w:t>
      </w:r>
    </w:p>
    <w:p>
      <w:r>
        <w:t xml:space="preserve">| 112 | Мука пшеничная |  |  |  |  |  |  |  |  |  |  |  |  |</w:t>
      </w:r>
    </w:p>
    <w:p>
      <w:r>
        <w:t xml:space="preserve">| 113 | Мясо кур |  |  |  |  |  |  |  |  |  |  |  |  |</w:t>
      </w:r>
    </w:p>
    <w:p>
      <w:r>
        <w:t xml:space="preserve">| 14 | Рис |  |  |  |  |  |  |  |  |  |  |  |  |</w:t>
      </w:r>
    </w:p>
    <w:p>
      <w:r>
        <w:t xml:space="preserve">| 15 | Сахар песок |  |  |  |  |  |  |  |  |  |  |  |  |</w:t>
      </w:r>
    </w:p>
    <w:p>
      <w:r>
        <w:t xml:space="preserve">| 16 | Соль |  |  |  |  |  |  |  |  |  |  |  |  |</w:t>
      </w:r>
    </w:p>
    <w:p>
      <w:r>
        <w:t xml:space="preserve">| 17 | Творог |  |  |  |  |  |  |  |  |  |  |  |  |</w:t>
      </w:r>
    </w:p>
    <w:p>
      <w:r>
        <w:t xml:space="preserve">| 18 | Хлеб |  |  |  |  |  |  |  |  |  |  |  |  |</w:t>
      </w:r>
    </w:p>
    <w:p>
      <w:r>
        <w:t xml:space="preserve">| 119 | Яйцо куриное, тысяч штук |  |  |  |  |  |  |  |  |  |  |  |  |</w:t>
      </w:r>
    </w:p>
    <w:p>
      <w:r>
        <w:t xml:space="preserve">| Общий итог, без учета яиц кур и хлеба |  |  |  |  |  |  |  |  |  |  |  |  | 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Наличие товаров | Реализованный объем | Остаток |  |  |  |  |  |  |  |  |</w:t>
      </w:r>
    </w:p>
    <w:p>
      <w:r>
        <w:t xml:space="preserve">|---|---|---|---|---|---|---|---|---|---|---|</w:t>
      </w:r>
    </w:p>
    <w:p>
      <w:r>
        <w:t xml:space="preserve">| в стабилизационных фондах | в рамках форвардных договоров и офтейк-контрактов | по предоставленным займам |  |  |  |  |  |  |  |  |</w:t>
      </w:r>
    </w:p>
    <w:p>
      <w:r>
        <w:t xml:space="preserve">| тонна | тысяч тенге | тонна | тысяч тенге | тонна | тысяч тенге | точка сбыта | тонна | тысяч тенге | тонна | тысяч тенге |</w:t>
      </w:r>
    </w:p>
    <w:p>
      <w:r>
        <w:t xml:space="preserve">| 9 | 10 | 11 | 12 | 13 |  |  |  |  |  |  |</w:t>
      </w:r>
    </w:p>
    <w:p>
      <w:pPr>
        <w:pStyle w:val="Heading2"/>
      </w:pPr>
      <w:r>
        <w:t xml:space="preserve">Текст</w:t>
      </w:r>
    </w:p>
    <w:p>
      <w:r>
        <w:t xml:space="preserve">Наименование: ____________________________________ Адрес ____________________________________________ Телефон __________________________________________ Адрес электронной почты____________________________ Исполнитель ______________________________________ Руководитель или лицо, исполняющее его обязанности: ______________________________________ ____________________________ фамилия, имя и отчество (при его наличии) (электронная цифровая подпись) Дата: "____" _________ 20___ года</w:t>
      </w:r>
    </w:p>
    <w:p>
      <w:pPr>
        <w:pStyle w:val="Heading2"/>
      </w:pPr>
      <w:r>
        <w:t xml:space="preserve">Текст</w:t>
      </w:r>
    </w:p>
    <w:p>
      <w:r>
        <w:t xml:space="preserve">Примечание: Пояснение по заполнению формы, предназначенной для сбора административных данных на безвозмездной основе "Информация о ходе реализации механизмов стабилизации цен на социально значимые продовольственные товары" приведено в приложении к настоящей форме.</w:t>
      </w:r>
    </w:p>
    <w:p>
      <w:r>
        <w:t xml:space="preserve">|  | Приложение к форме, предназначенной для сбора административных данных на безвозмездной основе "Информация о ходе реализации механизмов стабилизации цен на социально значимые продовольственные товары"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формы, предназначенной для сбора административных данных на безвозмездной основе "Информация о ходе реализации механизмов стабилизации цен на социально значимые продовольственные товары"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Настоящее пояснение определяет единые требования по заполнению формы, предназначенной для сбора административных данных на безвозмездной основе "Информация о ходе реализации механизмов стабилизации цен на социально значимые продовольственные товары" (далее – Форма).</w:t>
      </w:r>
    </w:p>
    <w:p>
      <w:pPr>
        <w:pStyle w:val="Heading2"/>
      </w:pPr>
      <w:r>
        <w:t xml:space="preserve">Пункт 2</w:t>
      </w:r>
    </w:p>
    <w:p>
      <w:r>
        <w:t xml:space="preserve">2. Форма заполняется специализированными организациями, реализующими механизмы стабилизации цен на социально значимые продовольственные товары, за исключением мер по установлению предельных цен на социально значимые продовольственные товары (далее – специализированные организации), местными исполнительными органами областей, города республиканского значения, столицы.</w:t>
      </w:r>
    </w:p>
    <w:p>
      <w:pPr>
        <w:pStyle w:val="Heading2"/>
      </w:pPr>
      <w:r>
        <w:t xml:space="preserve">Пункт 3</w:t>
      </w:r>
    </w:p>
    <w:p>
      <w:r>
        <w:t xml:space="preserve">3. Форма подписывается руководителем, либо лицом, исполняющим его обязанности, с указанием его фамилии и инициалов.</w:t>
      </w:r>
    </w:p>
    <w:p>
      <w:pPr>
        <w:pStyle w:val="Heading2"/>
      </w:pPr>
      <w:r>
        <w:t xml:space="preserve">Пункт 4</w:t>
      </w:r>
    </w:p>
    <w:p>
      <w:r>
        <w:t xml:space="preserve">4. Форма предоставляется:</w:t>
      </w:r>
    </w:p>
    <w:p>
      <w:r>
        <w:t xml:space="preserve">специализированными организациями в местные исполнительные органы областей, городов республиканского значения, столицы, еженедельно по средам;</w:t>
      </w:r>
    </w:p>
    <w:p>
      <w:r>
        <w:t xml:space="preserve">местными исполнительными органами областей, городов республиканского значения, столицы в министерства сельского хозяйства и торговли и интеграции Республики Казахстан, еженедельно по четвергам.</w:t>
      </w:r>
    </w:p>
    <w:p>
      <w:pPr>
        <w:pStyle w:val="Heading2"/>
      </w:pPr>
      <w:r>
        <w:t xml:space="preserve">Пункт 5</w:t>
      </w:r>
    </w:p>
    <w:p>
      <w:r>
        <w:t xml:space="preserve">5. Форма заполняется на государственном и русском языках.</w:t>
      </w:r>
    </w:p>
    <w:p>
      <w:pPr>
        <w:pStyle w:val="Heading2"/>
      </w:pPr>
      <w:r>
        <w:t xml:space="preserve">Глава 2 Пояснение по заполнению Формы</w:t>
      </w:r>
    </w:p>
    <w:p>
      <w:pPr>
        <w:pStyle w:val="Heading2"/>
      </w:pPr>
      <w:r>
        <w:t xml:space="preserve">Пункт 6</w:t>
      </w:r>
    </w:p>
    <w:p>
      <w:r>
        <w:t xml:space="preserve">6. В графе 1 Формы указывается порядковый номер.</w:t>
      </w:r>
    </w:p>
    <w:p>
      <w:pPr>
        <w:pStyle w:val="Heading2"/>
      </w:pPr>
      <w:r>
        <w:t xml:space="preserve">Пункт 7</w:t>
      </w:r>
    </w:p>
    <w:p>
      <w:r>
        <w:t xml:space="preserve">7. В графе 2 Формы указывается наименование товара.</w:t>
      </w:r>
    </w:p>
    <w:p>
      <w:pPr>
        <w:pStyle w:val="Heading2"/>
      </w:pPr>
      <w:r>
        <w:t xml:space="preserve">Пункт 8</w:t>
      </w:r>
    </w:p>
    <w:p>
      <w:r>
        <w:t xml:space="preserve">8. В графе 3 Формы указываются объем и сумма товаров, закупленных напрямую у сельскохозяйственных товаропроизводителей и перерабатывающих предприятий, в тоннах и тысячах тенге.</w:t>
      </w:r>
    </w:p>
    <w:p>
      <w:pPr>
        <w:pStyle w:val="Heading2"/>
      </w:pPr>
      <w:r>
        <w:t xml:space="preserve">Пункт 9</w:t>
      </w:r>
    </w:p>
    <w:p>
      <w:r>
        <w:t xml:space="preserve">9. В графе 4 Формы указываются объем и сумма товаров, закупленных напрямую у оптовых поставщиков (дистрибьютеров), специализирующихся на реализации продовольственных товаров, в тоннах и тысячах тенге.</w:t>
      </w:r>
    </w:p>
    <w:p>
      <w:pPr>
        <w:pStyle w:val="Heading2"/>
      </w:pPr>
      <w:r>
        <w:t xml:space="preserve">Пункт 10</w:t>
      </w:r>
    </w:p>
    <w:p>
      <w:r>
        <w:t xml:space="preserve">10. В графе 5 Формы указываются объем и сумма товаров, закупленных у сельскохозяйственных товаропроизводителей и перерабатывающих предприятий в рамках форвардных договоров и офтейк-контрактов, в тоннах и тысячах тенге.</w:t>
      </w:r>
    </w:p>
    <w:p>
      <w:pPr>
        <w:pStyle w:val="Heading2"/>
      </w:pPr>
      <w:r>
        <w:t xml:space="preserve">Пункт 11</w:t>
      </w:r>
    </w:p>
    <w:p>
      <w:r>
        <w:t xml:space="preserve">11. В графе 6 Формы указываются объем и сумма товаров, закупленных у оптовых поставщиков (дистрибьютеров), специализирующихся на реализации продовольственных товаров, в рамках форвардных договоров и офтейк-контрактов, в тоннах и тысячах тенге.</w:t>
      </w:r>
    </w:p>
    <w:p>
      <w:pPr>
        <w:pStyle w:val="Heading2"/>
      </w:pPr>
      <w:r>
        <w:t xml:space="preserve">Пункт 12</w:t>
      </w:r>
    </w:p>
    <w:p>
      <w:r>
        <w:t xml:space="preserve">12. В графе 7 Формы указываются объем и сумма закупленных товаров по займам, предоставленным сельскохозяйственным товаропроизводителям и перерабатывающим предприятиям, в тоннах и тысячах тенге.</w:t>
      </w:r>
    </w:p>
    <w:p>
      <w:pPr>
        <w:pStyle w:val="Heading2"/>
      </w:pPr>
      <w:r>
        <w:t xml:space="preserve">Пункт 13</w:t>
      </w:r>
    </w:p>
    <w:p>
      <w:r>
        <w:t xml:space="preserve">13. В графе 8 Формы указываются объем и сумма закупленных товаров по займам, предоставленным субъектам предпринимательства, осуществляющим реализацию продовольственных товаров, в тоннах и тысячах тенге.</w:t>
      </w:r>
    </w:p>
    <w:p>
      <w:pPr>
        <w:pStyle w:val="Heading2"/>
      </w:pPr>
      <w:r>
        <w:t xml:space="preserve">Пункт 14</w:t>
      </w:r>
    </w:p>
    <w:p>
      <w:r>
        <w:t xml:space="preserve">14. В графе 9 Формы указывается количество товаров, имеющихся в наличии в стабилизационных фондах, в тоннах и тысячах тенге.</w:t>
      </w:r>
    </w:p>
    <w:p>
      <w:pPr>
        <w:pStyle w:val="Heading2"/>
      </w:pPr>
      <w:r>
        <w:t xml:space="preserve">Пункт 15</w:t>
      </w:r>
    </w:p>
    <w:p>
      <w:r>
        <w:t xml:space="preserve">15. В графе 10 Формы указывается количество товаров, имеющихся в наличии в рамках форвардных договоров и офтейк-контрактов, в тоннах и тысячах тенге.</w:t>
      </w:r>
    </w:p>
    <w:p>
      <w:pPr>
        <w:pStyle w:val="Heading2"/>
      </w:pPr>
      <w:r>
        <w:t xml:space="preserve">Пункт 16</w:t>
      </w:r>
    </w:p>
    <w:p>
      <w:r>
        <w:t xml:space="preserve">16. В графе 11 Формы указывается количество товаров, имеющихся в наличии по предоставленным займам, в тоннах и тысячах тенге.</w:t>
      </w:r>
    </w:p>
    <w:p>
      <w:pPr>
        <w:pStyle w:val="Heading2"/>
      </w:pPr>
      <w:r>
        <w:t xml:space="preserve">Пункт 17</w:t>
      </w:r>
    </w:p>
    <w:p>
      <w:r>
        <w:t xml:space="preserve">17. В графе 12 Формы указывается реализованный объем, в тоннах и тысячах тенге.</w:t>
      </w:r>
    </w:p>
    <w:p>
      <w:pPr>
        <w:pStyle w:val="Heading2"/>
      </w:pPr>
      <w:r>
        <w:t xml:space="preserve">Пункт 18</w:t>
      </w:r>
    </w:p>
    <w:p>
      <w:r>
        <w:t xml:space="preserve">18. В графе 13 Формы указывается остаток, в тоннах и тысячах тенге.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