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использовании автомобильной дороги (участка) общего пользования республиканского значения Актау – Бейнеу на платной основе</w:t>
      </w:r>
    </w:p>
    <w:p>
      <w:r>
        <w:t xml:space="preserve">Приказ. Министерство транспорта Республики Казахстан (Образован Указом Президента РК от 01.09.2023 г. № 318). от 29.07.2025. № 212995. редакция от 29.07.2025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29) пункта 2 статьи 12 Закона Республики Казахстан "Об автомобильных дорогах"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Установить, что:</w:t>
      </w:r>
    </w:p>
    <w:p>
      <w:pPr>
        <w:pStyle w:val="Heading2"/>
      </w:pPr>
      <w:r>
        <w:t xml:space="preserve">Подпункт 1</w:t>
      </w:r>
    </w:p>
    <w:p>
      <w:r>
        <w:t xml:space="preserve">1) участок Актау – Жетыбай – Шетпе – Бейнеу километр (далее – км) 786+ 000 – км 513+850 автомобильной дороги общего пользования республиканского значения I-б, II категорий Доссор – Кульсары – Бейнеу – Сай Утес – Шетпе – Жетыбай – Актау (далее – платная дорога (участок)) используется на платной основе;</w:t>
      </w:r>
    </w:p>
    <w:p>
      <w:pPr>
        <w:pStyle w:val="Heading2"/>
      </w:pPr>
      <w:r>
        <w:t xml:space="preserve">Подпункт 2</w:t>
      </w:r>
    </w:p>
    <w:p>
      <w:r>
        <w:t xml:space="preserve">2) проезд может осуществляться по альтернативной дороге: автомобильные дороги республиканского значения "Актау – Курык", "Курык – Жетыбай", участок "Жетыбай – Жанаозен" автомобильной дороги "Жетыбай – Жанаозен – граница Туркменистна", автомобильная дорога районного значения "Жанаозен – Кызылсай", автомобильная дорога областного значения "Сай Утес – Каракудук – Кызылсай";</w:t>
      </w:r>
    </w:p>
    <w:p>
      <w:pPr>
        <w:pStyle w:val="Heading2"/>
      </w:pPr>
      <w:r>
        <w:t xml:space="preserve">Подпункт 3</w:t>
      </w:r>
    </w:p>
    <w:p>
      <w:r>
        <w:t xml:space="preserve">3) начальный пункт платной дороги (участка) – км 786+000, конечный пункт платной дороги (участка) – км 513+850;</w:t>
      </w:r>
    </w:p>
    <w:p>
      <w:pPr>
        <w:pStyle w:val="Heading2"/>
      </w:pPr>
      <w:r>
        <w:t xml:space="preserve">Подпункт 4</w:t>
      </w:r>
    </w:p>
    <w:p>
      <w:r>
        <w:t xml:space="preserve">4) перечень пересечений платной дороги (участка) с другими автомобильными дорогами и примыканий к другим автомобильным дорогам согласно приложению 1 к настоящему приказу;</w:t>
      </w:r>
    </w:p>
    <w:p>
      <w:pPr>
        <w:pStyle w:val="Heading2"/>
      </w:pPr>
      <w:r>
        <w:t xml:space="preserve">Подпункт 5</w:t>
      </w:r>
    </w:p>
    <w:p>
      <w:r>
        <w:t xml:space="preserve">5) техническая классификация платной дороги (участка) – категория I-б, II, основные параметры платной дороги (участка):</w:t>
      </w:r>
    </w:p>
    <w:p>
      <w:r>
        <w:t xml:space="preserve">ширина полосы проезда по автомобильной дороге категории – не менее 3,75 метра;</w:t>
      </w:r>
    </w:p>
    <w:p>
      <w:r>
        <w:t xml:space="preserve">количество полос движения по автомобильной дороге категории – 1 и 2 полосы в обоих направлениях;</w:t>
      </w:r>
    </w:p>
    <w:p>
      <w:pPr>
        <w:pStyle w:val="Heading2"/>
      </w:pPr>
      <w:r>
        <w:t xml:space="preserve">Подпункт 6</w:t>
      </w:r>
    </w:p>
    <w:p>
      <w:r>
        <w:t xml:space="preserve">6) протяженность платной дороги (участка) – 272,15 километра;</w:t>
      </w:r>
    </w:p>
    <w:p>
      <w:pPr>
        <w:pStyle w:val="Heading2"/>
      </w:pPr>
      <w:r>
        <w:t xml:space="preserve">Подпункт 7</w:t>
      </w:r>
    </w:p>
    <w:p>
      <w:r>
        <w:t xml:space="preserve">7) ставки платы за проезд по платной автомобильной дороге (участку) определяются согласно приложению 2 к настоящему приказу;</w:t>
      </w:r>
    </w:p>
    <w:p>
      <w:pPr>
        <w:pStyle w:val="Heading2"/>
      </w:pPr>
      <w:r>
        <w:t xml:space="preserve">Подпункт 8</w:t>
      </w:r>
    </w:p>
    <w:p>
      <w:r>
        <w:t xml:space="preserve">8) перечень прилегающих населенных пунктов, не имеющих альтернативного проезда по другой автомобильной дороге, согласно приложению 3 к настоящему приказу;</w:t>
      </w:r>
    </w:p>
    <w:p>
      <w:pPr>
        <w:pStyle w:val="Heading2"/>
      </w:pPr>
      <w:r>
        <w:t xml:space="preserve">Подпункт 9</w:t>
      </w:r>
    </w:p>
    <w:p>
      <w:r>
        <w:t xml:space="preserve">9) срок использования платной дороги (участка) на платной основе – 20 лет.</w:t>
      </w:r>
    </w:p>
    <w:p>
      <w:pPr>
        <w:pStyle w:val="Heading2"/>
      </w:pPr>
      <w:r>
        <w:t xml:space="preserve">Пункт 2</w:t>
      </w:r>
    </w:p>
    <w:p>
      <w:r>
        <w:t xml:space="preserve">2. Комитету автомобильных дорог Министерства транспорта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транспорта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транспорта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транспорта Республики Казахстан | М. Калиакпаров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финансов Республики Казахстан</w:t>
      </w:r>
    </w:p>
    <w:p>
      <w:r>
        <w:t xml:space="preserve">|  | Приложение 1 к приказу Исполняющий обязанности Министра транспорта Республики Казахстан от 29 июля 2025 года № 243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пересечений платной дороги (участка) с другими автомобильными дорогами и примыканий к другим автомобильным дорогам</w:t>
      </w:r>
    </w:p>
    <w:p>
      <w:r>
        <w:t xml:space="preserve">| Адреса пересечений и примыканий километр (далее – км) + метров | Наименование населенных пунктов по предназначенному пересечению и примыканию |</w:t>
      </w:r>
    </w:p>
    <w:p>
      <w:r>
        <w:t xml:space="preserve">|---|---|</w:t>
      </w:r>
    </w:p>
    <w:p>
      <w:r>
        <w:t xml:space="preserve">| отсутствует | Отсутствует |</w:t>
      </w:r>
    </w:p>
    <w:p>
      <w:r>
        <w:t xml:space="preserve">|  | Приложение 2 к приказу |</w:t>
      </w:r>
    </w:p>
    <w:p>
      <w:r>
        <w:t xml:space="preserve">|---|---|</w:t>
      </w:r>
    </w:p>
    <w:p>
      <w:pPr>
        <w:pStyle w:val="Heading2"/>
      </w:pPr>
      <w:r>
        <w:t xml:space="preserve">Глава Ставки платы за проезд по платной автомобильной дороге (участку)</w:t>
      </w:r>
    </w:p>
    <w:p>
      <w:pPr>
        <w:pStyle w:val="Heading2"/>
      </w:pPr>
      <w:r>
        <w:t xml:space="preserve">Текст</w:t>
      </w:r>
    </w:p>
    <w:p>
      <w:r>
        <w:t xml:space="preserve">Участок Актау - Жетыбай - Шетпе - Бейнеу км 786+000 – км 513+850 автомобильной дороги общего пользования республиканского значения I-б и II категории Доссор - Кульсары - Бейнеу - Сай Утес - Шетпе - Жетыбай - Актау:</w:t>
      </w:r>
    </w:p>
    <w:p>
      <w:pPr>
        <w:pStyle w:val="Heading2"/>
      </w:pPr>
      <w:r>
        <w:t xml:space="preserve">Текст</w:t>
      </w:r>
    </w:p>
    <w:p>
      <w:r>
        <w:t xml:space="preserve">МРП:</w:t>
      </w:r>
    </w:p>
    <w:p>
      <w:r>
        <w:t xml:space="preserve">| № | Зона | Легковые | Автобусы до 16 мест и грузовые автомобили грузоподъемностью до 2,5 тонны (далее - т) | Автобусы до 32 мест и грузовые автомобили грузоподъемностью до 5,5 т | Автобусы свыше 32 мест и грузовые автомобили грузоподъемностью автопоезда до 10 т | Грузовые автомобили грузоподъемностью от 10 т до 15 т | Грузовые автомобили грузоподъемностью свыше 15 т, в том числе с прицепами, седельные тягачи |  |  |  |  |  |  |</w:t>
      </w:r>
    </w:p>
    <w:p>
      <w:r>
        <w:t xml:space="preserve">|---|---|---|---|---|---|---|---|---|---|---|---|---|---|</w:t>
      </w:r>
    </w:p>
    <w:p>
      <w:r>
        <w:t xml:space="preserve">| 1 | 2 | 3 | 4 | 5 | 6 | 7 | 8 |  |  |  |  |  |  |</w:t>
      </w:r>
    </w:p>
    <w:p>
      <w:r>
        <w:t xml:space="preserve">|  |  | Пост оплата | Пред оплата | Пост оплата | Пред оплата | Пост оплата | Пред оплата | Пост оплата | Пред оплата | Пост оплата | Пред оплата | Пост оплата | Пред оплата |</w:t>
      </w:r>
    </w:p>
    <w:p>
      <w:r>
        <w:t xml:space="preserve">| 1 | Км 786+000 – 777+100 (8 км 900 метров) | 0,0050 | 0,0043 | 0,0166 | 0,0141 | 0,0336 | 0,0285 | 0,0501 | 0,0426 | 0,0671 | 0,0570 | 0,0837 | 0,0712 |</w:t>
      </w:r>
    </w:p>
    <w:p>
      <w:r>
        <w:t xml:space="preserve">| 2 | Км 777+100 – 718+000 (59 км 100 метров) | 0,0330 | 0,0282 | 0,1104 | 0,0938 | 0,2228 | 0,1893 | 0,3328 | 0,2828 | 0,4453 | 0,3787 | 0,5557 | 0,4725 |</w:t>
      </w:r>
    </w:p>
    <w:p>
      <w:r>
        <w:t xml:space="preserve">| 3 | Км 718+000 - 703+450 (14 км 550 метров) |  |  | 0,0272 | 0,0231 | 0,0549 | 0,0466 | 0,0819 | 0,0696 | 0,1096 | 0,0932 | 0,1368 | 0,1163 |</w:t>
      </w:r>
    </w:p>
    <w:p>
      <w:r>
        <w:t xml:space="preserve">| 4 | Км 703+450 – 647+030 (56 км 420 метров) |  |  | 0,1054 | 0,0895 | 0,2127 | 0,1808 | 0,3178 | 0,2700 | 0,4251 | 0,3615 | 0,5305 | 0,4510 |</w:t>
      </w:r>
    </w:p>
    <w:p>
      <w:r>
        <w:t xml:space="preserve">| 5 | км 647+030 – 630+800 (16 км 230 метров) |  |  | 0,0303 | 0,0258 | 0,0612 | 0,0520 | 0,0914 | 0,0777 | 0,1223 | 0,1040 | 0,1526 | 0,1297 |</w:t>
      </w:r>
    </w:p>
    <w:p>
      <w:r>
        <w:t xml:space="preserve">| 6 | км 630+800 – 614+800 (16 км) |  |  | 0,0299 | 0,0254 | 0,0603 | 0,0513 | 0,0901 | 0,0766 | 0,1206 | 0,1025 | 0,1504 | 0,1279 |</w:t>
      </w:r>
    </w:p>
    <w:p>
      <w:r>
        <w:t xml:space="preserve">| 7 | км 614+800 – 513+850 (100 км 950 метров) |  |  | 0,1885 | 0,1602 | 0,3806 | 0,3234 | 0,5685 | 0,4830 | 0,7607 | 0,6468 | 0,9492 | 0,8070 |</w:t>
      </w:r>
    </w:p>
    <w:p>
      <w:r>
        <w:t xml:space="preserve">|  | Итого за весь маршрут в одном направлении (272,15 км) | 0,0379 | 0,0325 | 0,5082 | 0,4319 | 1,0261 | 0,8719 | 1,5327 | 1,3022 | 2,0507 | 1,7438 | 2,5589 | 2,1757 |</w:t>
      </w:r>
    </w:p>
    <w:p>
      <w:pPr>
        <w:pStyle w:val="Heading2"/>
      </w:pPr>
      <w:r>
        <w:t xml:space="preserve">Подпункт 1</w:t>
      </w:r>
    </w:p>
    <w:p>
      <w:r>
        <w:t xml:space="preserve">1) абонентская плата – плата за проезд по платным участкам, установленная уполномоченным государственным органом в области автомобильных дорог, на определенный период времени для местных автотранспортных средств, зарегистрированных в населенных пунктах, прилегающих к платному участку при перемещении за пределами одного района в виде абонемента сроком на месяц или на год;</w:t>
      </w:r>
    </w:p>
    <w:p>
      <w:pPr>
        <w:pStyle w:val="Heading2"/>
      </w:pPr>
      <w:r>
        <w:t xml:space="preserve">Подпункт 2</w:t>
      </w:r>
    </w:p>
    <w:p>
      <w:r>
        <w:t xml:space="preserve">2) абонентская плата устанавливается для местного автотранспорта в зависимости от типа автотранспортного средства и грузоподъемности:</w:t>
      </w:r>
    </w:p>
    <w:p>
      <w:r>
        <w:t xml:space="preserve">на один месяц (30 календарных дней):</w:t>
      </w:r>
    </w:p>
    <w:p>
      <w:r>
        <w:t xml:space="preserve">| Тип автотранспортного средства | Для легковых | для Автобусов до 16 мест и грузовые автомобили грузоподъемностью до 2,5 т | для Автобусов до 32 мест и грузовые автомобили грузоподъемностью до 5,5 т | для Автобусов свыше 32 мест и грузовые автомобили грузоподъемностью автопоезда до 10 т | для Грузовых автомобилей грузоподъемностью от 10 т до 15 т | для Грузовых автомобилей грузоподъемностью свыше 15 т, в том ч исле с прицепами, седельные тягачи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Стоимость абонентской платы | Не предусмотрен | 1 МРП | 2 МРП | 3 МРП | 4 МРП | 5 МРП |</w:t>
      </w:r>
    </w:p>
    <w:p>
      <w:pPr>
        <w:pStyle w:val="Heading2"/>
      </w:pPr>
      <w:r>
        <w:t xml:space="preserve">Текст</w:t>
      </w:r>
    </w:p>
    <w:p>
      <w:r>
        <w:t xml:space="preserve">на один год (365 календарных дней):</w:t>
      </w:r>
    </w:p>
    <w:p>
      <w:r>
        <w:t xml:space="preserve">| Тип автотранспортного средства | Для легковых | для Автобусов до 16 мест и грузовые автомобили грузоподъемностью до 2,5 т | для Автобусов до 32 мест и грузовые автомобили грузоподъемностью до 5,5 т | для Автобусов свыше 32 мест и грузовые автомобили грузоподъемностью автопоезда до 10 т | для Грузовых автомобилей грузоподъемностью от 10 т до 15 т | для Грузо вых автомобилей грузоподъемностью свыше 15 т, в том числе с прицепами, седельные тягачи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Стоимость абонентской платы | 1 МРП | 12 МРП | 24 МРП | 36 МРП | 48 МРП | 60 МРП |</w:t>
      </w:r>
    </w:p>
    <w:p>
      <w:pPr>
        <w:pStyle w:val="Heading2"/>
      </w:pPr>
      <w:r>
        <w:t xml:space="preserve">Подпункт 3</w:t>
      </w:r>
    </w:p>
    <w:p>
      <w:r>
        <w:t xml:space="preserve">3) зона – отрезок дороги платного участка, имеющий свою протяженность и определенную ставку платы за проезд в зависимости от грузоподъемности и типа автотранспортного средства;</w:t>
      </w:r>
    </w:p>
    <w:p>
      <w:pPr>
        <w:pStyle w:val="Heading2"/>
      </w:pPr>
      <w:r>
        <w:t xml:space="preserve">Подпункт 4</w:t>
      </w:r>
    </w:p>
    <w:p>
      <w:r>
        <w:t xml:space="preserve">4) предварительная оплата – денежные средства, зачисленные пользователем на лицевой счет или на счет государственного регистрационного номерного знака автотранспортного средства до въезда на платный участок, сумма, которой достаточна для оплаты проезда;</w:t>
      </w:r>
    </w:p>
    <w:p>
      <w:pPr>
        <w:pStyle w:val="Heading2"/>
      </w:pPr>
      <w:r>
        <w:t xml:space="preserve">Подпункт 5</w:t>
      </w:r>
    </w:p>
    <w:p>
      <w:r>
        <w:t xml:space="preserve">5) местный автотранспорт – автотранспортное средство, зарегистрированный в установленном порядке на административно-территориальной единице (район области), прилегающей к платному участку при перемещении за пределами одного района.</w:t>
      </w:r>
    </w:p>
    <w:p>
      <w:r>
        <w:t xml:space="preserve">Расшифровка аббревиатур:</w:t>
      </w:r>
    </w:p>
    <w:p>
      <w:r>
        <w:t xml:space="preserve">МРП - месячный расчетный показатель;</w:t>
      </w:r>
    </w:p>
    <w:p>
      <w:r>
        <w:t xml:space="preserve">км - километр;</w:t>
      </w:r>
    </w:p>
    <w:p>
      <w:r>
        <w:t xml:space="preserve">м - метр;</w:t>
      </w:r>
    </w:p>
    <w:p>
      <w:r>
        <w:t xml:space="preserve">т - тонна.</w:t>
      </w:r>
    </w:p>
    <w:p>
      <w:r>
        <w:t xml:space="preserve">|  | Приложение 3 к приказу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прилегающих населенных пунктов, не имеющих альтернативного проезда по другой автомобильной дороге</w:t>
      </w:r>
    </w:p>
    <w:p>
      <w:r>
        <w:t xml:space="preserve">| № п\п | Наименование населенного пункта |</w:t>
      </w:r>
    </w:p>
    <w:p>
      <w:r>
        <w:t xml:space="preserve">|---|---|</w:t>
      </w:r>
    </w:p>
    <w:p>
      <w:r>
        <w:t xml:space="preserve">| Мангистауская область |  |</w:t>
      </w:r>
    </w:p>
    <w:p>
      <w:r>
        <w:t xml:space="preserve">| Мунайлинский район |  |</w:t>
      </w:r>
    </w:p>
    <w:p>
      <w:r>
        <w:t xml:space="preserve">| 1 | село Мангистау |</w:t>
      </w:r>
    </w:p>
    <w:p>
      <w:r>
        <w:t xml:space="preserve">| Каракиянский район |  |</w:t>
      </w:r>
    </w:p>
    <w:p>
      <w:r>
        <w:t xml:space="preserve">| 2 | село Мунайши |</w:t>
      </w:r>
    </w:p>
    <w:p>
      <w:r>
        <w:t xml:space="preserve">| 3 | село Жетибай |</w:t>
      </w:r>
    </w:p>
    <w:p>
      <w:r>
        <w:t xml:space="preserve">| Мангистауский район |  |</w:t>
      </w:r>
    </w:p>
    <w:p>
      <w:r>
        <w:t xml:space="preserve">| 4 | село Боздак |</w:t>
      </w:r>
    </w:p>
    <w:p>
      <w:r>
        <w:t xml:space="preserve">| 5 | село Жармыш |</w:t>
      </w:r>
    </w:p>
    <w:p>
      <w:r>
        <w:t xml:space="preserve">| 6 | село Шетпе |</w:t>
      </w:r>
    </w:p>
    <w:p>
      <w:r>
        <w:t xml:space="preserve">| 7 | село Беки |</w:t>
      </w:r>
    </w:p>
    <w:p>
      <w:r>
        <w:t xml:space="preserve">| 8 | село Сай - Утес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