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приказы Министра национальной экономики Республики Казахстан от 17 марта 2015 года № 211 "Об утверждении типового договора имущественного найма (аренды) государственного имущества" и от 17 марта 2015 года № 212 "Об утверждении Правил передачи государственного имущества в имущественный наем (аренду)"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03.06.2025. № 211411. редакция от 03.06.2025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17 марта 2015 года № 211 "Об утверждении типового договора имущественного найма (аренды) государственного имущества" (зарегистрирован в Реестре государственной регистрации нормативных правовых актов за № 10479) следующие изменения:</w:t>
      </w:r>
    </w:p>
    <w:p>
      <w:r>
        <w:t xml:space="preserve">в Типовом договоре имущественного найма (аренды) государственного имущества, утвержденных указанным приказом:</w:t>
      </w:r>
    </w:p>
    <w:p>
      <w:r>
        <w:t xml:space="preserve">пункты 7 и 8 изложить в следующей редакции:</w:t>
      </w:r>
    </w:p>
    <w:p>
      <w:r>
        <w:t xml:space="preserve">"7. Наймодатель имеет право:</w:t>
      </w:r>
    </w:p>
    <w:p>
      <w:pPr>
        <w:pStyle w:val="Heading2"/>
      </w:pPr>
      <w:r>
        <w:t xml:space="preserve">Подпункт 1</w:t>
      </w:r>
    </w:p>
    <w:p>
      <w:r>
        <w:t xml:space="preserve">1) по согласованию с балансодержателем дать письменное разрешение нанимателю на перепланировку или переоборудование объекта, расположенного в нем сетей и коммуникаций;</w:t>
      </w:r>
    </w:p>
    <w:p>
      <w:pPr>
        <w:pStyle w:val="Heading2"/>
      </w:pPr>
      <w:r>
        <w:t xml:space="preserve">Подпункт 2</w:t>
      </w:r>
    </w:p>
    <w:p>
      <w:r>
        <w:t xml:space="preserve">2) дать письменное разрешение нанимателю на передачу объекта в субаренду;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осуществлять контроль за своевременностью и полнотой перечисления арендной платы;</w:t>
      </w:r>
    </w:p>
    <w:p>
      <w:pPr>
        <w:pStyle w:val="Heading2"/>
      </w:pPr>
      <w:r>
        <w:t xml:space="preserve">Подпункт 4</w:t>
      </w:r>
    </w:p>
    <w:p>
      <w:r>
        <w:t xml:space="preserve">4) начислить пеню за несвоевременность внесения арендной платы;</w:t>
      </w:r>
    </w:p>
    <w:p>
      <w:pPr>
        <w:pStyle w:val="Heading2"/>
      </w:pPr>
      <w:r>
        <w:t xml:space="preserve">Подпункт 5</w:t>
      </w:r>
    </w:p>
    <w:p>
      <w:r>
        <w:t xml:space="preserve">5) продлить срок договора, вносить изменения и дополнения в договор или расторгнуть его по соглашению сторон;</w:t>
      </w:r>
    </w:p>
    <w:p>
      <w:pPr>
        <w:pStyle w:val="Heading2"/>
      </w:pPr>
      <w:r>
        <w:t xml:space="preserve">Подпункт 6</w:t>
      </w:r>
    </w:p>
    <w:p>
      <w:r>
        <w:t xml:space="preserve">6) осуществлять мониторинг целевого использования объекта.</w:t>
      </w:r>
    </w:p>
    <w:p>
      <w:pPr>
        <w:pStyle w:val="Heading2"/>
      </w:pPr>
      <w:r>
        <w:t xml:space="preserve">Пункт 8</w:t>
      </w:r>
    </w:p>
    <w:p>
      <w:r>
        <w:t xml:space="preserve">8. Наниматель имеет право:</w:t>
      </w:r>
    </w:p>
    <w:p>
      <w:pPr>
        <w:pStyle w:val="Heading2"/>
      </w:pPr>
      <w:r>
        <w:t xml:space="preserve">Подпункт 1</w:t>
      </w:r>
    </w:p>
    <w:p>
      <w:r>
        <w:t xml:space="preserve">1) вносить арендную плату авансом;</w:t>
      </w:r>
    </w:p>
    <w:p>
      <w:pPr>
        <w:pStyle w:val="Heading2"/>
      </w:pPr>
      <w:r>
        <w:t xml:space="preserve">Подпункт 2</w:t>
      </w:r>
    </w:p>
    <w:p>
      <w:r>
        <w:t xml:space="preserve">2) с письменного согласия балансодержателя обратиться к наймодателю за разрешением на перепланировку или переоборудование объекта, расположенных в нем сетей и коммуникаций;</w:t>
      </w:r>
    </w:p>
    <w:p>
      <w:pPr>
        <w:pStyle w:val="Heading2"/>
      </w:pPr>
      <w:r>
        <w:t xml:space="preserve">Подпункт 3</w:t>
      </w:r>
    </w:p>
    <w:p>
      <w:r>
        <w:t xml:space="preserve">3) обратиться к наймодателю за разрешением на передачу объекта в субаренду;</w:t>
      </w:r>
    </w:p>
    <w:p>
      <w:pPr>
        <w:pStyle w:val="Heading2"/>
      </w:pPr>
      <w:r>
        <w:t xml:space="preserve">Подпункт 4</w:t>
      </w:r>
    </w:p>
    <w:p>
      <w:r>
        <w:t xml:space="preserve">4) вносить предложения наймодателю о внесении изменений и дополнений или расторжении договора.".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национальной экономики Республики Казахстан от 17 марта 2015 года № 212 "Об утверждении Правил передачи государственного имущества в имущественный наем (аренду)" (зарегистрирован в Реестре государственной регистрации нормативных правовых актов за № 10467) следующее изменение:</w:t>
      </w:r>
    </w:p>
    <w:p>
      <w:r>
        <w:t xml:space="preserve">в Правилах передачи государственного имущества в имущественный наем (аренду), утвержденных указанным приказом:</w:t>
      </w:r>
    </w:p>
    <w:p>
      <w:r>
        <w:t xml:space="preserve">пункт 47 изложить в следующей редакции:</w:t>
      </w:r>
    </w:p>
    <w:p>
      <w:r>
        <w:t xml:space="preserve">"47. Сдача арендуемых объектов в субаренду осуществляется с письменного разрешения наймодателя.</w:t>
      </w:r>
    </w:p>
    <w:p>
      <w:r>
        <w:t xml:space="preserve">Для получения разрешения на сдачу арендуемых объектов в субаренду наниматель предоставляет наймодателю соответствующее письменное обращение с указанием условий и сроков субаренды.</w:t>
      </w:r>
    </w:p>
    <w:p>
      <w:r>
        <w:t xml:space="preserve">Наймодатель рассматривает обращение нанимателя о сдаче арендуемых объектов в субаренду в течение пятнадцати рабочих дней и принимает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о согласовании сдачи арендуемых объектов в субаренду;</w:t>
      </w:r>
    </w:p>
    <w:p>
      <w:pPr>
        <w:pStyle w:val="Heading2"/>
      </w:pPr>
      <w:r>
        <w:t xml:space="preserve">Подпункт 2</w:t>
      </w:r>
    </w:p>
    <w:p>
      <w:r>
        <w:t xml:space="preserve">2) об отказе в сдаче арендуемых объектов в субаренду, в случае несоответствия условий и сроков субаренды договору аренды.".</w:t>
      </w:r>
    </w:p>
    <w:p>
      <w:pPr>
        <w:pStyle w:val="Heading2"/>
      </w:pPr>
      <w:r>
        <w:t xml:space="preserve">Пункт 3</w:t>
      </w:r>
    </w:p>
    <w:p>
      <w:r>
        <w:t xml:space="preserve">3.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