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национальной экономики Республики Казахстан от 19 ноября 2019 года № 90 "Об утверждении Правил формирования тарифов"</w:t>
      </w:r>
    </w:p>
    <w:p>
      <w:r>
        <w:t xml:space="preserve">Приказ, Изменения, Дополнения. Министерство национальной экономики Республики Казахстан (Образован Указом Президента РК от 06.08.2014 г. № 875). от 29.05.2025. № 210883. редакция от 29.05.2025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19 ноября 2019 года № 90 "Об утверждении Правил формирования тарифов" (зарегистрирован в Реестре государственной регистрации нормативных правовых актов за № 19617) следующее изменения и дополнения:</w:t>
      </w:r>
    </w:p>
    <w:p>
      <w:r>
        <w:t xml:space="preserve">в Правилах формирования тарифов, утвержденных указанным приказом:</w:t>
      </w:r>
    </w:p>
    <w:p>
      <w:r>
        <w:t xml:space="preserve">в пункте 3 :</w:t>
      </w:r>
    </w:p>
    <w:p>
      <w:r>
        <w:t xml:space="preserve">дополнить подпунктом 30-1) следующего содержания:</w:t>
      </w:r>
    </w:p>
    <w:p>
      <w:r>
        <w:t xml:space="preserve">"30-1) электронная платформа закупок модернизации – информационно-коммуникационная платформа, предназначенная для централизованного сбора, обработки, хранения электронных информационных ресурсов, закупки товаров, работ и услуг, приобретения товаров у отечественных товаропроизводителей, заключения контрактов "под ключ", мониторинга реализации проектов в части национального проекта модернизации энергетического и коммунального секторов;";</w:t>
      </w:r>
    </w:p>
    <w:p>
      <w:r>
        <w:t xml:space="preserve">дополнить подпунктом 56-1) следующего содержания:</w:t>
      </w:r>
    </w:p>
    <w:p>
      <w:r>
        <w:t xml:space="preserve">"56-1) финансовый оператор – акционерное общество "Национальный управляющий холдинг "Байтерек";";</w:t>
      </w:r>
    </w:p>
    <w:p>
      <w:r>
        <w:t xml:space="preserve">дополнить подпунктом 144-1) следующего содержания:</w:t>
      </w:r>
    </w:p>
    <w:p>
      <w:r>
        <w:t xml:space="preserve">"144-1) технический оператор в сфере жилищных отношений и жилищно-коммунального хозяйства – акционерное общество "Казахстанский центр модернизации и развития жилищно-коммунального хозяйства";";</w:t>
      </w:r>
    </w:p>
    <w:p>
      <w:r>
        <w:t xml:space="preserve">дополнить главой 6-1 следующего содержания:</w:t>
      </w:r>
    </w:p>
    <w:p>
      <w:r>
        <w:t xml:space="preserve">"Глава 6-1. Изменение утвержденной тарифной сметы и утвержденной инвестиционной программы в рамках реализации национального проекта по модернизации энергетического и коммунального секторов</w:t>
      </w:r>
    </w:p>
    <w:p>
      <w:pPr>
        <w:pStyle w:val="Heading2"/>
      </w:pPr>
      <w:r>
        <w:t xml:space="preserve">Параграф 1 Изменение утвержденной тарифной сметы</w:t>
      </w:r>
    </w:p>
    <w:p>
      <w:pPr>
        <w:pStyle w:val="Heading2"/>
      </w:pPr>
      <w:r>
        <w:t xml:space="preserve">Пункт 374-1</w:t>
      </w:r>
    </w:p>
    <w:p>
      <w:r>
        <w:t xml:space="preserve">374-1. Субъект обращается в ведомство уполномоченного органа одновременно с заявлением об изменении утвержденной тарифной сметы и инвестиционной программы.</w:t>
      </w:r>
    </w:p>
    <w:p>
      <w:pPr>
        <w:pStyle w:val="Heading2"/>
      </w:pPr>
      <w:r>
        <w:t xml:space="preserve">Пункт 374-2</w:t>
      </w:r>
    </w:p>
    <w:p>
      <w:r>
        <w:t xml:space="preserve">374-2. При обращении с заявлением об изменении утвержденной тарифной сметы субъект представляет в ведомство уполномоченного органа проект тарифной сметы, по форме 7-1 согласно приложению 1 к настоящим Правилам, с учетом изменений и материалы, обосновывающие внесение изменений в утвержденную тарифную смету.</w:t>
      </w:r>
    </w:p>
    <w:p>
      <w:pPr>
        <w:pStyle w:val="Heading2"/>
      </w:pPr>
      <w:r>
        <w:t xml:space="preserve">Пункт 374-3</w:t>
      </w:r>
    </w:p>
    <w:p>
      <w:r>
        <w:t xml:space="preserve">374-3. С учетом согласования технического оператора в сфере жилищных отношений и жилищно-коммунального хозяйства, субъект направляет проекты тарифной сметы и инвестиционной программы на согласование в ведомство уполномоченного органа с целью оценки влияния проекта на тариф.</w:t>
      </w:r>
    </w:p>
    <w:p>
      <w:r>
        <w:t xml:space="preserve">Результаты согласования либо отказа в согласовании проекта ведомством уполномоченного органа отражаются на электронной платформе закупок по модернизации.</w:t>
      </w:r>
    </w:p>
    <w:p>
      <w:pPr>
        <w:pStyle w:val="Heading2"/>
      </w:pPr>
      <w:r>
        <w:t xml:space="preserve">Пункт 374-4</w:t>
      </w:r>
    </w:p>
    <w:p>
      <w:r>
        <w:t xml:space="preserve">374-4. При обращении с заявлением об изменении утвержденной тарифной сметы субъект представляет в ведомство уполномоченного органа:</w:t>
      </w:r>
    </w:p>
    <w:p>
      <w:pPr>
        <w:pStyle w:val="Heading2"/>
      </w:pPr>
      <w:r>
        <w:t xml:space="preserve">Подпункт 1</w:t>
      </w:r>
    </w:p>
    <w:p>
      <w:r>
        <w:t xml:space="preserve">1) проект тарифной сметы;</w:t>
      </w:r>
    </w:p>
    <w:p>
      <w:pPr>
        <w:pStyle w:val="Heading2"/>
      </w:pPr>
      <w:r>
        <w:t xml:space="preserve">Подпункт 2</w:t>
      </w:r>
    </w:p>
    <w:p>
      <w:r>
        <w:t xml:space="preserve">2) проект инвестиционной программы;</w:t>
      </w:r>
    </w:p>
    <w:p>
      <w:pPr>
        <w:pStyle w:val="Heading2"/>
      </w:pPr>
      <w:r>
        <w:t xml:space="preserve">Подпункт 3</w:t>
      </w:r>
    </w:p>
    <w:p>
      <w:r>
        <w:t xml:space="preserve">3) заключен"е о согласовании техническим оператором в сфере жилищных отношений и жилищно-коммунального хозяйства.</w:t>
      </w:r>
    </w:p>
    <w:p>
      <w:pPr>
        <w:pStyle w:val="Heading2"/>
      </w:pPr>
      <w:r>
        <w:t xml:space="preserve">Параграф 2 Изменение утвержденной инвестиционной программы</w:t>
      </w:r>
    </w:p>
    <w:p>
      <w:pPr>
        <w:pStyle w:val="Heading2"/>
      </w:pPr>
      <w:r>
        <w:t xml:space="preserve">Пункт 374-5</w:t>
      </w:r>
    </w:p>
    <w:p>
      <w:r>
        <w:t xml:space="preserve">374-5. Заявление на изменение утвержденной инвестиционной программы представляется одновременно в ведомство уполномоченного органа и государственный орган, осуществляющий руководство в соответствующих отраслях, и (или) местный исполнительный орган.</w:t>
      </w:r>
    </w:p>
    <w:p>
      <w:pPr>
        <w:pStyle w:val="Heading2"/>
      </w:pPr>
      <w:r>
        <w:t xml:space="preserve">Пункт 374-6</w:t>
      </w:r>
    </w:p>
    <w:p>
      <w:r>
        <w:t xml:space="preserve">374-6. При обращении с заявлением об изменении утвержденной инвестиционной программы субъект представляет в ведомство уполномоченного органа,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проект инвестиционной программы;</w:t>
      </w:r>
    </w:p>
    <w:p>
      <w:pPr>
        <w:pStyle w:val="Heading2"/>
      </w:pPr>
      <w:r>
        <w:t xml:space="preserve">Подпункт 2</w:t>
      </w:r>
    </w:p>
    <w:p>
      <w:r>
        <w:t xml:space="preserve">2) заключение финансового оператора, в том числе индикатив с условиями финансирования, выданный банком;</w:t>
      </w:r>
    </w:p>
    <w:p>
      <w:pPr>
        <w:pStyle w:val="Heading2"/>
      </w:pPr>
      <w:r>
        <w:t xml:space="preserve">Подпункт 3</w:t>
      </w:r>
    </w:p>
    <w:p>
      <w:r>
        <w:t xml:space="preserve">3) заключение технического оператора в сфере жилищных отношений и жилищно-коммунального хозяйства, в том числе согласованная проектно-сметная документация.</w:t>
      </w:r>
    </w:p>
    <w:p>
      <w:pPr>
        <w:pStyle w:val="Heading2"/>
      </w:pPr>
      <w:r>
        <w:t xml:space="preserve">Пункт 374-7</w:t>
      </w:r>
    </w:p>
    <w:p>
      <w:r>
        <w:t xml:space="preserve">374-7. Сроки рассмотрения заявления на изменение утвержденной инвестиционной программы со дня ее представления составляют:</w:t>
      </w:r>
    </w:p>
    <w:p>
      <w:r>
        <w:t xml:space="preserve">ведомством уполномоченного органа - не более двадцати рабочих дней;</w:t>
      </w:r>
    </w:p>
    <w:p>
      <w:r>
        <w:t xml:space="preserve">государственным органом, осуществляющим руководство в соответствующей отрасли, и (или) местным исполнительным органом - не более десяти рабочих дней.</w:t>
      </w:r>
    </w:p>
    <w:p>
      <w:r>
        <w:t xml:space="preserve">При этом срок рассмотрения ведомством уполномоченного органа и государственным органом, осуществляющим руководство в соответствующей отрасли, и (или) местным исполнительным органом не продлевается.</w:t>
      </w:r>
    </w:p>
    <w:p>
      <w:pPr>
        <w:pStyle w:val="Heading2"/>
      </w:pPr>
      <w:r>
        <w:t xml:space="preserve">Пункт 374-8</w:t>
      </w:r>
    </w:p>
    <w:p>
      <w:r>
        <w:t xml:space="preserve">374-8. В срок не позднее пяти рабочих дней со дня получения заявления на изменение утвержденной инвестиционной программы, ведомство уполномоченного органа уведомляет субъекта и государственный орган, осуществляющий руководство в соответствующих отраслях, и (или) местный исполнительный орган о принятии ее к рассмотрению либо об отказе в принятии ее к рассмотрению при подаче заявления на утверждение инвестиционной программы представление субъектом неполного пакета документов, указанных в пункте 374-6 настоящих Правил.</w:t>
      </w:r>
    </w:p>
    <w:p>
      <w:pPr>
        <w:pStyle w:val="Heading2"/>
      </w:pPr>
      <w:r>
        <w:t xml:space="preserve">Пункт 374-9</w:t>
      </w:r>
    </w:p>
    <w:p>
      <w:r>
        <w:t xml:space="preserve">374-9. По результатам рассмотрения проекта инвестиционной программы, реализуемого в рамках национального проекта по модернизация энергетического и коммунального секторов:</w:t>
      </w:r>
    </w:p>
    <w:p>
      <w:r>
        <w:t xml:space="preserve">государственный орган, осуществляющий руководство в соответствующей отрасли, и (или) местный исполнительный орган не позднее десяти рабочих дней со дня представления заявления на изменение утвержденной инвестиционной программы, направляет ведомству уполномоченного органа заключение о целесообразности или нецелесообразности принятия мероприятий инвестиционной программы субъекта;</w:t>
      </w:r>
    </w:p>
    <w:p>
      <w:r>
        <w:t xml:space="preserve">ведомство уполномоченного органа не позднее, чем за семь рабочих дней до принятия решения направляет в государственный орган, осуществляющий руководство в соответствующей отрасли, и (или) местный исполнительный орган, подписанный проект решения об утверждении инвестиционной программы с приложением инвестиционной программы;</w:t>
      </w:r>
    </w:p>
    <w:p>
      <w:r>
        <w:t xml:space="preserve">в течение двух рабочих дней со дня представления подписанного проекта решения об утверждении инвестиционной программы государственный орган, осуществляющий руководство в соответствующей отрасли и (или) местный исполнительный орган направляет ведомству уполномоченного органа решение об утверждении инвестиционной программы либо информирует о необходимости внесения изменений и (или) дополнений в подписанный проект решения об утверждении инвестиционной программы с приложением мотивированного заключения;</w:t>
      </w:r>
    </w:p>
    <w:p>
      <w:r>
        <w:t xml:space="preserve">в случае непредставления заключения о целесообразности или нецелесообразности принятия мероприятий инвестиционной программы или подписанного проекта решения об утверждении инвестиционной программы государственным органом, осуществляющим руководство в соответствующей отрасли, и (или) местным исполнительным органом в сроки, предусмотренными в настоящем пункте, является основанием для "согласовано по умолчанию".</w:t>
      </w:r>
    </w:p>
    <w:p>
      <w:pPr>
        <w:pStyle w:val="Heading2"/>
      </w:pPr>
      <w:r>
        <w:t xml:space="preserve">Пункт 374-10</w:t>
      </w:r>
    </w:p>
    <w:p>
      <w:r>
        <w:t xml:space="preserve">374-10. Расходы субъекта по выплатам вознаграждений и основного долга по привлеченным займам в рамках национального проекта по модернизации энергетического и коммунального секторов, не ограничиваются остаточной стоимостью основных средств и допустимым уровнем прибыли.";</w:t>
      </w:r>
    </w:p>
    <w:p>
      <w:r>
        <w:t xml:space="preserve">пункт 384-1 изложить в следующей редакции:</w:t>
      </w:r>
    </w:p>
    <w:p>
      <w:r>
        <w:t xml:space="preserve">"384-1. В случае направления на реализацию инвестиционной программы собственных средств субъекта, расходы на выплату вознаграждений для реализации инвестиционного проекта рассчитываются с учетом ставки, не превышающей ставки рефинансирования Национального Банка Республики Казахстан.";</w:t>
      </w:r>
    </w:p>
    <w:p>
      <w:r>
        <w:t xml:space="preserve">пункт 601 изложить в следующей редакции:</w:t>
      </w:r>
    </w:p>
    <w:p>
      <w:r>
        <w:t xml:space="preserve">"601. Изменение тарифа осуществляется по инициативе ведомства уполномоченного органа не более двух раз в год, и по инициативе субъекта не более одного раза в год.</w:t>
      </w:r>
    </w:p>
    <w:p>
      <w:r>
        <w:t xml:space="preserve">Основаниями изменения утвержденного ведомством уполномоченного органа тарифа до истечения его срока действия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изменение вида и стоимости стратегических товаров и (или) подлежащих государственному регулированию тарифов (цен) на транспортировку стратегических товаров;</w:t>
      </w:r>
    </w:p>
    <w:p>
      <w:pPr>
        <w:pStyle w:val="Heading2"/>
      </w:pPr>
      <w:r>
        <w:t xml:space="preserve">Подпункт 2</w:t>
      </w:r>
    </w:p>
    <w:p>
      <w:r>
        <w:t xml:space="preserve">2) объявление чрезвычайной ситуации в соответствии с законодательством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изменение ставок налогов и других обязательных платежей в бюджет в соответствии с налоговым законодательством Республики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изменение утвержденной инвестиционной программы и (или) условий заключенного договора займа, затраты по которым предусмотрены в утвержденной инвестиционной программе в связи с реализацией государственных программ и (или) национальных проектов, а также Документов системы государственного планирования;</w:t>
      </w:r>
    </w:p>
    <w:p>
      <w:pPr>
        <w:pStyle w:val="Heading2"/>
      </w:pPr>
      <w:r>
        <w:t xml:space="preserve">Подпункт 5</w:t>
      </w:r>
    </w:p>
    <w:p>
      <w:r>
        <w:t xml:space="preserve">5) увеличение объемов предоставляемых регулируемых услуг;</w:t>
      </w:r>
    </w:p>
    <w:p>
      <w:pPr>
        <w:pStyle w:val="Heading2"/>
      </w:pPr>
      <w:r>
        <w:t xml:space="preserve">Подпункт 6</w:t>
      </w:r>
    </w:p>
    <w:p>
      <w:r>
        <w:t xml:space="preserve">6) изменение себестоимости электрической энергии и воды собственного производства, используемых атомно-энергетическим комплексом при предоставлении регулируемых услуг по производству, передаче, распределению и (или) снабжению тепловой энергией и водоснабжению, связанное с изменением цены на газ и (или) его транспортировку;</w:t>
      </w:r>
    </w:p>
    <w:p>
      <w:pPr>
        <w:pStyle w:val="Heading2"/>
      </w:pPr>
      <w:r>
        <w:t xml:space="preserve">Подпункт 7</w:t>
      </w:r>
    </w:p>
    <w:p>
      <w:r>
        <w:t xml:space="preserve">7) несоблюдение показателей качества и надежности регулируемых услуг;</w:t>
      </w:r>
    </w:p>
    <w:p>
      <w:pPr>
        <w:pStyle w:val="Heading2"/>
      </w:pPr>
      <w:r>
        <w:t xml:space="preserve">Подпункт 8</w:t>
      </w:r>
    </w:p>
    <w:p>
      <w:r>
        <w:t xml:space="preserve">8) несоответствие деятельности субъекта, предоставляющего регулируемую услугу по передаче электрической энергии, требованиям пункта 6 статьи 13-1 Закона Республики Казахстан "Об электроэнергетике" на основании информации государственного органа по государственному энергетическому надзору и контролю;</w:t>
      </w:r>
    </w:p>
    <w:p>
      <w:pPr>
        <w:pStyle w:val="Heading2"/>
      </w:pPr>
      <w:r>
        <w:t xml:space="preserve">Подпункт 9</w:t>
      </w:r>
    </w:p>
    <w:p>
      <w:r>
        <w:t xml:space="preserve">9) недостижение показателей эффективности деятельности субъектов;</w:t>
      </w:r>
    </w:p>
    <w:p>
      <w:pPr>
        <w:pStyle w:val="Heading2"/>
      </w:pPr>
      <w:r>
        <w:t xml:space="preserve">Подпункт 10</w:t>
      </w:r>
    </w:p>
    <w:p>
      <w:r>
        <w:t xml:space="preserve">10) получение на баланс и (или) в доверительное управление имущества, используемого в технологическом цикле при предоставлении регулируемых услуг субъектами, за исключением субъектов, предоставляющих регулируемые услуги, предусмотренные подпунктами 10) , 12) и 13) пункта 1 статьи 5 Закона, от местных исполнительных органов, уполномоченного органа по управлению государственным имуществом, в том числе электрических сетей от других энергопередающих организаций, в соответствии с планом передачи на баланс и (или) в доверительное управление имущества при его получении в безвозмездное пользование;</w:t>
      </w:r>
    </w:p>
    <w:p>
      <w:pPr>
        <w:pStyle w:val="Heading2"/>
      </w:pPr>
      <w:r>
        <w:t xml:space="preserve">Подпункт 11</w:t>
      </w:r>
    </w:p>
    <w:p>
      <w:r>
        <w:t xml:space="preserve">11) изменение среднемесячной номинальной заработной платы одного работника по видам экономической деятельности в регионе (городе), сложившейся по данным статистики за год;</w:t>
      </w:r>
    </w:p>
    <w:p>
      <w:pPr>
        <w:pStyle w:val="Heading2"/>
      </w:pPr>
      <w:r>
        <w:t xml:space="preserve">Подпункт 12</w:t>
      </w:r>
    </w:p>
    <w:p>
      <w:r>
        <w:t xml:space="preserve">12) передача субъекту в имущественный наем (аренду) или доверительное управление магистрального газопровода по маршруту "Кызылорда –Жезказган – Караганда – Темиртау – Астана".</w:t>
      </w:r>
    </w:p>
    <w:p>
      <w:r>
        <w:t xml:space="preserve">Изменение в утвержденную тарифную смету до истечения его срока действия на основании, предусмотренным подпунктом 10) настоящего пункта Правил, в том числе в случае получения на баланс и (или) в доверительное управление имущества, используемого в технологическом цикле при предоставлении регулируемых услуг субъектами от других энергопередающих организаций, уполномоченным органом осуществляется не выше уровня прогноза социально-экономического развития на соответствующий год;</w:t>
      </w:r>
    </w:p>
    <w:p>
      <w:r>
        <w:t xml:space="preserve">дополнить пунктом 601-1 следующего содержания:</w:t>
      </w:r>
    </w:p>
    <w:p>
      <w:r>
        <w:t xml:space="preserve">"601-1. В рамках национального проекта по модернизация энергетического и коммунального секторов субъект обращается в ведомство уполномоченного органа с дополнительной инициативой в течении года по предоставлению заявки на изменение утвержденного уполномоченным органом тарифа до истечения его срока действия по основанию, предусмотренному подпунктом 4) пункта 601 настоящих Правил.</w:t>
      </w:r>
    </w:p>
    <w:p>
      <w:r>
        <w:t xml:space="preserve">В случае применения стимулирующего метода тарифного регулирования, субъект подает заявку на изменение утвержденного уполномоченным органом тарифа до истечения его срока действия в процессе ежегодной корректировки тарифов на следующий регуляторный год.";</w:t>
      </w:r>
    </w:p>
    <w:p>
      <w:r>
        <w:t xml:space="preserve">пункт 604 изложить в следующей редакции:</w:t>
      </w:r>
    </w:p>
    <w:p>
      <w:r>
        <w:t xml:space="preserve">"604. К заявке на изменение тарифа прилагаются:</w:t>
      </w:r>
    </w:p>
    <w:p>
      <w:pPr>
        <w:pStyle w:val="Heading2"/>
      </w:pPr>
      <w:r>
        <w:t xml:space="preserve">Подпункт 1</w:t>
      </w:r>
    </w:p>
    <w:p>
      <w:r>
        <w:t xml:space="preserve">1) пояснительная записка, с указанием причин изменения утвержденного ведомством уполномоченного органа тарифа до истечения его срока действия;</w:t>
      </w:r>
    </w:p>
    <w:p>
      <w:pPr>
        <w:pStyle w:val="Heading2"/>
      </w:pPr>
      <w:r>
        <w:t xml:space="preserve">Подпункт 2</w:t>
      </w:r>
    </w:p>
    <w:p>
      <w:r>
        <w:t xml:space="preserve">2) проект тарифной сметы в соответствии с Перечнем затрат, учитываемых и не учитываемых в тарифе, Правилами ограничения размеров затрат, учитываемых в тарифе, согласно настоящим Правилам. При этом в случае увеличения стоимости стратегических товаров в тарифной смете корректируются только статьи затрат, включающие использование стратегических товаров и (или) подлежащих государственному регулированию тарифов (цен) на транспортировку стратегических товаров;</w:t>
      </w:r>
    </w:p>
    <w:p>
      <w:pPr>
        <w:pStyle w:val="Heading2"/>
      </w:pPr>
      <w:r>
        <w:t xml:space="preserve">Подпункт 3</w:t>
      </w:r>
    </w:p>
    <w:p>
      <w:r>
        <w:t xml:space="preserve">3) документы, подтверждающие необходимость изменения утвержденного ведомством уполномоченного органа тарифа до истечения его срока действия;</w:t>
      </w:r>
    </w:p>
    <w:p>
      <w:pPr>
        <w:pStyle w:val="Heading2"/>
      </w:pPr>
      <w:r>
        <w:t xml:space="preserve">Подпункт 4</w:t>
      </w:r>
    </w:p>
    <w:p>
      <w:r>
        <w:t xml:space="preserve">4) перечень документов, предусмотренных пунктом 374-6 настоящих Правил (в случае реализации национального проекта по модернизации энергетического и коммунального секторов).</w:t>
      </w:r>
    </w:p>
    <w:p>
      <w:r>
        <w:t xml:space="preserve">В случае изменения стоимости стратегических товаров и (или) подлежащих государственному регулированию тарифов (цен) на транспортировку стратегических товаров к заявке на утверждение тарифа прилагаются конкурсная документация, решения конкурсных (тендерных) комиссий по закупке товаров, договора, счета-фактуры, расчеты уровня затрат, а также произведенные на основе типовых норм и нормативов, действующих в соответствующей отрасли (сфере), расчеты технических потерь, нормах расхода стратегического товара.</w:t>
      </w:r>
    </w:p>
    <w:p>
      <w:r>
        <w:t xml:space="preserve">Срок рассмотрения ведомством уполномоченного органа заявки об изменении тарифа до истечения его срока действия в случаях, предусмотренных:</w:t>
      </w:r>
    </w:p>
    <w:p>
      <w:pPr>
        <w:pStyle w:val="Heading2"/>
      </w:pPr>
      <w:r>
        <w:t xml:space="preserve">Подпункт 1</w:t>
      </w:r>
    </w:p>
    <w:p>
      <w:r>
        <w:t xml:space="preserve">1) подпунктами 1), 2), 3) и 11) пункта 601 настоящих Правил, составляет не более десяти рабочих дней со дня ее представления;</w:t>
      </w:r>
    </w:p>
    <w:p>
      <w:pPr>
        <w:pStyle w:val="Heading2"/>
      </w:pPr>
      <w:r>
        <w:t xml:space="preserve">Подпункт 2</w:t>
      </w:r>
    </w:p>
    <w:p>
      <w:r>
        <w:t xml:space="preserve">2) подпунктами 4), 5), 6) и 10) пункта 601 настоящих Правил, составляет не более тридцати рабочих дней со дня ее представления;</w:t>
      </w:r>
    </w:p>
    <w:p>
      <w:pPr>
        <w:pStyle w:val="Heading2"/>
      </w:pPr>
      <w:r>
        <w:t xml:space="preserve">Подпункт 3</w:t>
      </w:r>
    </w:p>
    <w:p>
      <w:r>
        <w:t xml:space="preserve">3) подпунктом 12) пункта 601 настоящих Правил, составляет не более девяноста рабочих дней со дня ее представления.</w:t>
      </w:r>
    </w:p>
    <w:p>
      <w:r>
        <w:t xml:space="preserve">В случае изменения тарифа по инициативе ведомства уполномоченного органа субъект в месячный срок со дня получения соответствующей информации представляет экономически обоснованные расчеты и материалы (копии договоров, актов выполненных работ, накладных, счет-фактур, пообъектный перечень основных средств и нематериальных активов с указанием балансовой и остаточной стоимости, срока службы, годовой амортизации).";</w:t>
      </w:r>
    </w:p>
    <w:p>
      <w:r>
        <w:t xml:space="preserve">дополнить пунктом 609-1 следующего содержания:</w:t>
      </w:r>
    </w:p>
    <w:p>
      <w:r>
        <w:t xml:space="preserve">"609-1. Субъект представляет в ведомство уполномоченного органа копию кредитного соглашения с графиком погашения, заключенного в рамках реализации национального проекта по модернизации энергетического и коммунального секторов, не позднее чем за тридцать календарных дней после ввода в действие тарифа.";</w:t>
      </w:r>
    </w:p>
    <w:p>
      <w:r>
        <w:t xml:space="preserve">подпункт 2) пункта 630 изложить в следующей редакции:</w:t>
      </w:r>
    </w:p>
    <w:p>
      <w:r>
        <w:t xml:space="preserve">"2) расходы на оплату труда производственного персонала при формировании тарифа исходя из фактической численности, но не превышающей нормативной численности персонала субъекта, среднемесячной заработной платы, принятой в действовавших тарифах, с учетом показателей прогноза социально-экономического развития Республики Казахстан (инфляция) или исходя из фактической численности, но не превышающей нормативной численности персонала субъекта, и среднемесячной заработной платы в регионе (в области, городе республиканского значения, столице), в котором субъект оказывает услуги, согласно видам экономической деятельности, сложившейся по данным статистики за год или за четвертый квартал, сложившиеся с начала года, предшествующей подаче заявки.</w:t>
      </w:r>
    </w:p>
    <w:p>
      <w:r>
        <w:t xml:space="preserve">При превышении заработной платы производственного персонала, определенной исходя из среднемесячной заработной платы производственного персонала в регионе (в области, городе республиканского значения, столице), в котором субъект оказывает услуги согласно видам экономической деятельности, сложившейся по данным статистики за год над среднемесячной номинальной заработной платой в регионе (в области, городе республиканского значения, столице), в котором субъект оказывает услуги, сложившейся по данным статистики за год учитывается среднемесячная номинальная заработная плата в регионе (в области, городе республиканского значения, столице), в котором субъект оказывает услуги, сложившейся по данным статистики за год.</w:t>
      </w:r>
    </w:p>
    <w:p>
      <w:r>
        <w:t xml:space="preserve">Для субъектов естественных монополий малой мощности расходы на оплату труда производственного персонала определяются на уровне не ниже двукратного минимального размера заработной платы, устанавливаемой ежегодно законом Республики Казахстан о республиканском бюджете на соответствующий финансовый год.</w:t>
      </w:r>
    </w:p>
    <w:p>
      <w:r>
        <w:t xml:space="preserve">В случае введения новых объектов, мощностей и реализации иных мероприятий, предусмотренных инвестиционной программой расходы на оплату труда производственного персонала для новых объектов определяются исходя из нормативной численности производственного персонала.</w:t>
      </w:r>
    </w:p>
    <w:p>
      <w:r>
        <w:t xml:space="preserve">При этом, расчеты потребности численности персонала, сырья, материалов, топлива, энергии и расчеты технических потерь, производятся на основе типовых норм и нормативов, действующих в соответствующей отрасли (сфере).</w:t>
      </w:r>
    </w:p>
    <w:p>
      <w:r>
        <w:t xml:space="preserve">В случае оказания регулируемых услуг субъектом в двух и более регионах (в областях, городах республиканского значения, столице) и утверждения единого тарифа, расходы на оплату труда производственного персонала при формировании тарифа включаются в затратную часть тарифа исходя из фактической численности, но не превышающей нормативной численности персонала субъекта, среднемесячной заработной платы, принятой в действовавших тарифах, с учетом показателей прогноза социально-экономического развития Республики Казахстан (инфляция) или исходя из фактической численности, но не превышающей нормативной численности персонала субъекта, и средневзвешенного показателя среднемесячной заработной платы в оказываемых регулируемые услуги регионах (в областях, городах республиканского значения, столице), согласно видам экономической деятельности, сложившейся по данным статистики за год или за четвертый квартал, предшествующей подаче заявки и определяется по формуле:</w:t>
      </w:r>
    </w:p>
    <w:p>
      <w:r>
        <w:t xml:space="preserve">W cp – средневзвешенный показатель среднемесячной заработной платы по видам экономической деятельности;</w:t>
      </w:r>
    </w:p>
    <w:p>
      <w:r>
        <w:t xml:space="preserve">W p1 , W p2 – среднемесячная заработная плата по видам экономической деятельности в i-ой регионе (в области, городе республиканского значения, столице) по данным статистики за год или за четвертый квартал, сложившиеся с начала года, предшествующей подаче заявки;</w:t>
      </w:r>
    </w:p>
    <w:p>
      <w:r>
        <w:t xml:space="preserve">P p1 , P p2 – фактическая задействованная численность субъекта в i-ой регионе (в области, городе республиканского значения, столице) за год или за четвертый квартал, сложившиеся с начала года, предшествующей подаче заявки.</w:t>
      </w:r>
    </w:p>
    <w:p>
      <w:r>
        <w:t xml:space="preserve">При превышении заработной платы производственного персонала, определенной исходя из среднемесячной заработной платы, принятой в действовавших тарифах с учетом показателей прогноза социально-экономического развития Республики Казахстан, над среднемесячной заработной платой производственного персонала в регионе (в области, городе республиканского значения, столице), в котором субъект оказывает услуги, согласно видам экономической деятельности, сложившейся по данным статистики за год или за четвертый квартал, сложившиеся с начала года, предшествующий подаче заявки и (или) над среднемесячной номинальной заработной платой в регионе (в области, городе республиканского значения, столице), в котором субъект оказывает услуги, сложившейся по данным статистики за год и (или) над средневзвешенным показателем среднемесячной заработной платы, определенным настоящими Правилами, учитывается заработная плата производственного персонала, определяемая исходя из среднемесячной заработной платы, принятой в действовавших тарифах, с учетом показателей прогноза социально-экономического развития Республики Казахстан (инфляция).</w:t>
      </w:r>
    </w:p>
    <w:p>
      <w:r>
        <w:t xml:space="preserve">В случае отсутствия в действующей тарифной смете субъекта дополнительных оплат за проживание в зонах экологического бедствия и радиационного риска, к среднемесячной заработной плате, применяются соответствующие дополнительные оплаты, установленные законодательством Республики Казахстан.</w:t>
      </w:r>
    </w:p>
    <w:p>
      <w:r>
        <w:t xml:space="preserve">При превышении заработной платы производственного персонала субъекта естественной монополии малой мощности, определенной исходя из среднемесячной заработной платы, принятой в действовавших тарифах с учетом показателей прогноза социально-экономического развития Республики Казахстан, над уровнем двукратного минимального размера заработной платы, устанавливаемой ежегодно законом Республики Казахстан о республиканском бюджете на соответствующий финансовый год, учитывается заработная плата производственного персонала, определяемая исходя из среднемесячной заработной платы, принятой в действовавших тарифах, с учетом показателей прогноза социально-экономического развития Республики Казахстан (инфляция);";</w:t>
      </w:r>
    </w:p>
    <w:p>
      <w:r>
        <w:t xml:space="preserve">подпункт 1) пункта 631 изложить в следующей редакции:</w:t>
      </w:r>
    </w:p>
    <w:p>
      <w:r>
        <w:t xml:space="preserve">"1) расходы на оплату труда административного персонала определяются исходя из фактической численности, но не превышающей нормативной численности персонала субъекта, и среднемесячной заработной платы, принятой в действовавших тарифах, с учетом показателей прогноза социально-экономического развития Республики Казахстан (инфляция) или исходя из фактической численности, но не превышающей нормативной численности персонала субъекта, и среднемесячной заработной платы в регионе (в области, городе республиканского значения, столице), в котором субъект оказывает услуги, согласно видам экономической деятельности, сложившейся по данным статистики за год или за четвертый квартал, сложившиеся с начала года, предшествующей подаче заявки.</w:t>
      </w:r>
    </w:p>
    <w:p>
      <w:r>
        <w:t xml:space="preserve">При превышении заработной платы административного персонала, определенной исходя из среднемесячной заработной платы административного персонала в регионе (в области, городе республиканского значения, столице), в котором субъект оказывает услуги согласно видам экономической деятельности, сложившейся по данным статистики за год над среднемесячной номинальной заработной платой в регионе (в области, городе республиканского значения, столице), в котором субъект оказывает услуги, сложившейся по данным статистики за год учитывается среднемесячная номинальная заработная плата в регионе (в области, городе республиканского значения, столице), в котором субъект оказывает услуги, сложившейся по данным статистики за год.</w:t>
      </w:r>
    </w:p>
    <w:p>
      <w:r>
        <w:t xml:space="preserve">В случае оказания регулируемых услуг субъектом в двух и более регионах (в областях, городах республиканского значения, столице) и утверждения единого тарифа, расходы на оплату труда административного персонала при формировании тарифа включаются в затратную часть тарифа исходя из фактической численности, но не превышающей нормативной численности персонала субъекта, среднемесячной заработной платы, принятой в действовавших тарифах, с учетом показателей прогноза социально-экономического развития Республики Казахстан (инфляция) или исходя из фактической численности, но не превышающей нормативной численности персонала субъекта, и средневзвешенного показателя среднемесячной заработной платы в оказываемых регулируемые услуги регионах (в областях, городах республиканского значения, столице), согласно видам экономической деятельности, сложившейся по данным статистики за год или за четвертый квартал, сложившиеся с начала года, предшествующей подаче заявки и определяется по формуле:</w:t>
      </w:r>
    </w:p>
    <w:p>
      <w:r>
        <w:t xml:space="preserve">W cp – средневзвешенный показатель среднемесячной заработной платы по видам экономической деятельности;</w:t>
      </w:r>
    </w:p>
    <w:p>
      <w:r>
        <w:t xml:space="preserve">W p1 , W p2 – среднемесячная заработная плата по видам экономической деятельности в i-ой регионе (в области, городе республиканского значения, столице) по данным статистики за год или за четвертый квартал, сложившиеся с начала года, предшествующей подаче заявки;</w:t>
      </w:r>
    </w:p>
    <w:p>
      <w:r>
        <w:t xml:space="preserve">P p1 , P p2 – фактическая задействованная численность субъекта в i-ой регионе (в области, городе республиканского значения, столице) за год или за четвертый квартал, сложившиеся с начала года, предшествующей подаче заявки.</w:t>
      </w:r>
    </w:p>
    <w:p>
      <w:r>
        <w:t xml:space="preserve">При превышении заработной платы административного персонала, определенной исходя из среднемесячной заработной платы, принятой в действовавших тарифах с учетом показателей прогноза социально-экономического развития Республики Казахстан, над среднемесячной заработной платой административного персонала в регионе (в области, городе республиканского значения, столице), в котором субъект оказывает услуги, согласно видам экономической деятельности, сложившейся по данным статистики за год или за четвертый квартал, сложившиеся с начала года, предшествующий подаче заявки и (или) над среднемесячной номинальной заработной платой в регионе (в области, городе республиканского значения, столице), в котором субъект оказывает услуги, сложившейся по данным статистики за год и (или) над средневзвешенным показателем среднемесячной заработной платы, определенным настоящими Правилами, учитывается заработная плата административного персонала, определяемая исходя из среднемесячной заработной платы, принятой в действовавших тарифах, с учетом показателей прогноза социально-экономического развития Республики Казахстан (инфляция);</w:t>
      </w:r>
    </w:p>
    <w:p>
      <w:r>
        <w:t xml:space="preserve">В случае отсутствия в действующей тарифной смете субъекта дополнительных оплат за проживание в зонах экологического бедствия и радиационного риска, к среднемесячной заработной плате, применяются соответствующие дополнительные оплаты, установленные законодательством Республики Казахстан.";</w:t>
      </w:r>
    </w:p>
    <w:p>
      <w:r>
        <w:t xml:space="preserve">дополнить пунктом 633-1 следующего содержания:</w:t>
      </w:r>
    </w:p>
    <w:p>
      <w:r>
        <w:t xml:space="preserve">"633-1. В целях обеспечения возврата заемных средств, привлеченных для реализации проектов по расширению, модернизации, реконструкции, обновлению, поддержанию существующих активов и созданию новых активов в населенных пунктах в рамках реализации национального проекта национального проекта по модернизации энергетического и коммунального секторов субъектом в сферах, предусмотренных подпунктами 3) , 4) и 14) пункта 1 статьи 5 Закона уполномоченный орган обеспечивает включение затрат в тариф на предстоящий период его утверждения и в последующих периодах утверждения тарифа до исполнения субъектом обязательств по погашению долга.</w:t>
      </w:r>
    </w:p>
    <w:p>
      <w:r>
        <w:t xml:space="preserve">При этом, объем затрат в утвержденном тарифе по привлеченным займам субъекта не подлежит изменению, за исключением случаев изменения условий договора займа.</w:t>
      </w:r>
    </w:p>
    <w:p>
      <w:r>
        <w:t xml:space="preserve">Субъект в приоритетном порядке исполняет обязательства по договору займа при исполнении мероприятий утвержденной инвестиционной программы и тарифной сметы в рамках реализации национального проекта по модернизации энергетического и коммунального секторов.</w:t>
      </w:r>
    </w:p>
    <w:p>
      <w:r>
        <w:t xml:space="preserve">Неисполнение вышеуказанных обязательств является основанием для отказа в изменении утвержденного ведомством уполномоченного органа тарифа до истечения его срока действия на основании, определенного подпунктом 1) пункта 601 настоящих Правил.";</w:t>
      </w:r>
    </w:p>
    <w:p>
      <w:r>
        <w:t xml:space="preserve">пункт 637 изложить в следующей редакции:</w:t>
      </w:r>
    </w:p>
    <w:p>
      <w:r>
        <w:t xml:space="preserve">"637. Ведомство уполномоченного органа при расчете тарифа определяет допустимый уровень прибыли как произведение ставки прибыли на величину регулируемой базы задействованных активов, определяемой в соответствии с Правилами определения допустимого уровня прибыли субъекта согласно главе 11 настоящих Правил.</w:t>
      </w:r>
    </w:p>
    <w:p>
      <w:r>
        <w:t xml:space="preserve">Уровень прибыли, включаемый в тариф, ограничивается с учетом средств, необходимых для реализации инвестиционной программы, за исключением прибыли, включаемой в тариф субъектов, пятьдесят и более процентов голосующих акций (долей участия) которых принадлежат национальному управляющему холдингу.</w:t>
      </w:r>
    </w:p>
    <w:p>
      <w:r>
        <w:t xml:space="preserve">Уровень прибыли, включаемый в тариф субъектов, пятьдесят и более процентов голосующих акций (долей участия) которых принадлежат национальному управляющему холдингу ограничивается с учетом средств, необходимых для реализации инвестиционной программы, и для развития и эффективного функционирования субъекта, в соответствии с пунктом 1 статьи 15 Закона.</w:t>
      </w:r>
    </w:p>
    <w:p>
      <w:r>
        <w:t xml:space="preserve">Инвестиции осуществляются субъектами за счет собственных и (или) заемных средств. Источниками собственных средств являются прибыль (чистый доход) и амортизационные отчисления.</w:t>
      </w:r>
    </w:p>
    <w:p>
      <w:r>
        <w:t xml:space="preserve">Возврат заемных средств осуществляется за счет прибыли (чистого дохода) и (или) амортизационных отчислений.</w:t>
      </w:r>
    </w:p>
    <w:p>
      <w:r>
        <w:t xml:space="preserve">Уровень прибыли не ограничивается для реализации государственных программ и (или) национальных проектов, а также документов системы государственного планирования";</w:t>
      </w:r>
    </w:p>
    <w:p>
      <w:r>
        <w:t xml:space="preserve">в Приложении 1 к настоящим Правилам:</w:t>
      </w:r>
    </w:p>
    <w:p>
      <w:r>
        <w:t xml:space="preserve">дополнить формой 7-1 согласно приложению 1 к настоящему приказу.</w:t>
      </w:r>
    </w:p>
    <w:p>
      <w:r>
        <w:t xml:space="preserve">дополнить формой 12-1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водных ресурсов и ирригации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энергетики Республики Казахстан</w:t>
      </w:r>
    </w:p>
    <w:p>
      <w:r>
        <w:t xml:space="preserve">|  | Приложение 1 к приказу Заместитель Премьер-Министра – Министр национальной экономики Республики Казахстан от 29 мая 2025 года № 45 |</w:t>
      </w:r>
    </w:p>
    <w:p>
      <w:r>
        <w:t xml:space="preserve">|---|---|</w:t>
      </w:r>
    </w:p>
    <w:p>
      <w:r>
        <w:t xml:space="preserve">|  | Приложение 1 к Правилам формирования тарифов |</w:t>
      </w:r>
    </w:p>
    <w:p>
      <w:r>
        <w:t xml:space="preserve">|  | Форма 7-1 |</w:t>
      </w:r>
    </w:p>
    <w:p>
      <w:pPr>
        <w:pStyle w:val="Heading2"/>
      </w:pPr>
      <w:r>
        <w:t xml:space="preserve">Глава Тарифная смета ______________________________________________ (наименование субъекта естественной монополии), реализуемая в рамках национального проекта по модернизации энергетического и коммунального секторов ______________________________________ наименование вида регулируемых услуг</w:t>
      </w:r>
    </w:p>
    <w:p>
      <w:pPr>
        <w:pStyle w:val="Heading2"/>
      </w:pPr>
      <w:r>
        <w:t xml:space="preserve">Текст</w:t>
      </w:r>
    </w:p>
    <w:p>
      <w:r>
        <w:t xml:space="preserve">ИИН/БИН</w:t>
      </w:r>
    </w:p>
    <w:p>
      <w:r>
        <w:t xml:space="preserve">| № п/п | Наименование показателей* | Единица измерения | Проект субъекта естественной монополии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I | Затраты на производство товаров и предоставление услуг, всего | тысяч тенге |  |</w:t>
      </w:r>
    </w:p>
    <w:p>
      <w:r>
        <w:t xml:space="preserve">|  | В том числе: |  |  |</w:t>
      </w:r>
    </w:p>
    <w:p>
      <w:r>
        <w:t xml:space="preserve">| 1 | Материальные затраты, всего | -//- |  |</w:t>
      </w:r>
    </w:p>
    <w:p>
      <w:r>
        <w:t xml:space="preserve">|  | В том числе: |  |  |</w:t>
      </w:r>
    </w:p>
    <w:p>
      <w:r>
        <w:t xml:space="preserve">| 1.1 | Сырье и материалы | -//- |  |</w:t>
      </w:r>
    </w:p>
    <w:p>
      <w:r>
        <w:t xml:space="preserve">| 1.2 | Покупные изделия | -//- |  |</w:t>
      </w:r>
    </w:p>
    <w:p>
      <w:r>
        <w:t xml:space="preserve">| 1.3 | ГСМ | -//- |  |</w:t>
      </w:r>
    </w:p>
    <w:p>
      <w:r>
        <w:t xml:space="preserve">| 1.4 | Топливо | -//- |  |</w:t>
      </w:r>
    </w:p>
    <w:p>
      <w:r>
        <w:t xml:space="preserve">| 1.5 | Энергия | -//- |  |</w:t>
      </w:r>
    </w:p>
    <w:p>
      <w:r>
        <w:t xml:space="preserve">| 2 | Затраты на оплату труда, всего | -//- |  |</w:t>
      </w:r>
    </w:p>
    <w:p>
      <w:r>
        <w:t xml:space="preserve">|  | В том числе: |  |  |</w:t>
      </w:r>
    </w:p>
    <w:p>
      <w:r>
        <w:t xml:space="preserve">| 2.1 | Заработная плата | -//- |  |</w:t>
      </w:r>
    </w:p>
    <w:p>
      <w:r>
        <w:t xml:space="preserve">| 2.2 | Социальный налог и социальные отчисления | -//- |  |</w:t>
      </w:r>
    </w:p>
    <w:p>
      <w:r>
        <w:t xml:space="preserve">| ОСМС |  |  |  |</w:t>
      </w:r>
    </w:p>
    <w:p>
      <w:r>
        <w:t xml:space="preserve">| 3 | Амортизация | -//- |  |</w:t>
      </w:r>
    </w:p>
    <w:p>
      <w:r>
        <w:t xml:space="preserve">| 4 | Ремонт, всего | -//- |  |</w:t>
      </w:r>
    </w:p>
    <w:p>
      <w:r>
        <w:t xml:space="preserve">|  | В том числе: |  |  |</w:t>
      </w:r>
    </w:p>
    <w:p>
      <w:r>
        <w:t xml:space="preserve">| 4.1 | Ремонт, не приводящий к росту стоимости основных средств | -//- |  |</w:t>
      </w:r>
    </w:p>
    <w:p>
      <w:r>
        <w:t xml:space="preserve">| 5 | Прочие затраты (расшифровать) | -//- |  |</w:t>
      </w:r>
    </w:p>
    <w:p>
      <w:r>
        <w:t xml:space="preserve">| II | Расходы периода, всего | -//- |  |</w:t>
      </w:r>
    </w:p>
    <w:p>
      <w:r>
        <w:t xml:space="preserve">| 6 | Общие и административные расходы, всего | -//- |  |</w:t>
      </w:r>
    </w:p>
    <w:p>
      <w:r>
        <w:t xml:space="preserve">|  | В том числе: |  |  |</w:t>
      </w:r>
    </w:p>
    <w:p>
      <w:r>
        <w:t xml:space="preserve">| 6.1 | Заработная плата административного персонала | -//- |  |</w:t>
      </w:r>
    </w:p>
    <w:p>
      <w:r>
        <w:t xml:space="preserve">| 6.2 | Социальный налог и социальные отчисления | -//- |  |</w:t>
      </w:r>
    </w:p>
    <w:p>
      <w:r>
        <w:t xml:space="preserve">| ОСМС |  |  |  |</w:t>
      </w:r>
    </w:p>
    <w:p>
      <w:r>
        <w:t xml:space="preserve">| 6.3 | Амортизация | -//- |  |</w:t>
      </w:r>
    </w:p>
    <w:p>
      <w:r>
        <w:t xml:space="preserve">| 6.4 | Коммунальные услуги | -//- |  |</w:t>
      </w:r>
    </w:p>
    <w:p>
      <w:r>
        <w:t xml:space="preserve">| 6.5 | Налоги | -//- |  |</w:t>
      </w:r>
    </w:p>
    <w:p>
      <w:r>
        <w:t xml:space="preserve">| 6.6 | Другие расходы (расшифровать) | -//- |  |</w:t>
      </w:r>
    </w:p>
    <w:p>
      <w:r>
        <w:t xml:space="preserve">| 7 | Расходы на выплату вознаграждений | -//- |  |</w:t>
      </w:r>
    </w:p>
    <w:p>
      <w:r>
        <w:t xml:space="preserve">| 8 | Расходы на выплату вознаграждения, реализуемые в рамках национального проекта по модернизации энергетического и коммунального секторов |  |  |</w:t>
      </w:r>
    </w:p>
    <w:p>
      <w:r>
        <w:t xml:space="preserve">| 9 | Основной долг в рамках реализации национального проекта по модернизации энергетического и коммунального секторов |  |  |</w:t>
      </w:r>
    </w:p>
    <w:p>
      <w:r>
        <w:t xml:space="preserve">| III | Всего затрат | -//- |  |</w:t>
      </w:r>
    </w:p>
    <w:p>
      <w:r>
        <w:t xml:space="preserve">| IV | Прибыль | -//- |  |</w:t>
      </w:r>
    </w:p>
    <w:p>
      <w:r>
        <w:t xml:space="preserve">| V | Всего доходов | -//- |  |</w:t>
      </w:r>
    </w:p>
    <w:p>
      <w:r>
        <w:t xml:space="preserve">| VI | Объем предоставляемых услуг | В натуральных показателях |  |</w:t>
      </w:r>
    </w:p>
    <w:p>
      <w:r>
        <w:t xml:space="preserve">| тысяч тенге |  |  |  |</w:t>
      </w:r>
    </w:p>
    <w:p>
      <w:r>
        <w:t xml:space="preserve">| VII | Нормативные потери | % |  |</w:t>
      </w:r>
    </w:p>
    <w:p>
      <w:r>
        <w:t xml:space="preserve">| В натуральных показателях |  |  |  |</w:t>
      </w:r>
    </w:p>
    <w:p>
      <w:r>
        <w:t xml:space="preserve">| VIII | Тариф (без налога на добавленную стоимость) | Тенге/на единицу предоставляемых услуг |  |</w:t>
      </w:r>
    </w:p>
    <w:p>
      <w:r>
        <w:t xml:space="preserve">|  | Справочно: |  |  |</w:t>
      </w:r>
    </w:p>
    <w:p>
      <w:r>
        <w:t xml:space="preserve">| 10 | Среднесписочная численность работников, всего | Человек |  |</w:t>
      </w:r>
    </w:p>
    <w:p>
      <w:r>
        <w:t xml:space="preserve">|  | В том числе: |  |  |</w:t>
      </w:r>
    </w:p>
    <w:p>
      <w:r>
        <w:t xml:space="preserve">| 10.1 | Производственного персонала | -//- |  |</w:t>
      </w:r>
    </w:p>
    <w:p>
      <w:r>
        <w:t xml:space="preserve">| 10.2 | Административного персонала | -//- |  |</w:t>
      </w:r>
    </w:p>
    <w:p>
      <w:r>
        <w:t xml:space="preserve">| 11 | Среднемесячная заработная плата, всего | тенге |  |</w:t>
      </w:r>
    </w:p>
    <w:p>
      <w:r>
        <w:t xml:space="preserve">|  | В том числе: |  |  |</w:t>
      </w:r>
    </w:p>
    <w:p>
      <w:r>
        <w:t xml:space="preserve">| 11.1 | Производственного персонала | -//- |  |</w:t>
      </w:r>
    </w:p>
    <w:p>
      <w:r>
        <w:t xml:space="preserve">| 11.2 | Административного персонала | -//- |  |</w:t>
      </w:r>
    </w:p>
    <w:p>
      <w:r>
        <w:t xml:space="preserve">| 12 | Капитальный ремонт | тысяч тенге |  |</w:t>
      </w:r>
    </w:p>
    <w:p>
      <w:r>
        <w:t xml:space="preserve">| 13 | Затраты, осуществляемые за счет прибыли (расшифровать) | -//- |  |</w:t>
      </w:r>
    </w:p>
    <w:p>
      <w:r>
        <w:t xml:space="preserve">| 14 | Ремонт, не приводящий к росту стоимости основных средств, всего | -//- |  |</w:t>
      </w:r>
    </w:p>
    <w:p>
      <w:r>
        <w:t xml:space="preserve">|  | В том числе: |  |  |</w:t>
      </w:r>
    </w:p>
    <w:p>
      <w:r>
        <w:t xml:space="preserve">| 14.1 | Материалы на ремонт | -//- |  |</w:t>
      </w:r>
    </w:p>
    <w:p>
      <w:r>
        <w:t xml:space="preserve">| 14.2 | Заработная плата | -//- |  |</w:t>
      </w:r>
    </w:p>
    <w:p>
      <w:r>
        <w:t xml:space="preserve">| 14.3 | Социальный налог и социальные отчисления, ОСМС | -//- | Скачать |</w:t>
      </w:r>
    </w:p>
    <w:p>
      <w:pPr>
        <w:pStyle w:val="Heading2"/>
      </w:pPr>
      <w:r>
        <w:t xml:space="preserve">Текст</w:t>
      </w:r>
    </w:p>
    <w:p>
      <w:r>
        <w:t xml:space="preserve">Примечание: * затраты при необходимости расширяются или дополняются; ГСМ – горюче-смазочные материалы; ОСМС – обязательное социальное медицинское страхование. Руководитель субъекта естественной монополии ____________________________________________________ Фамилия, имя, отчество (при его наличии) подпись Дата "___" ______________ 20 года</w:t>
      </w:r>
    </w:p>
    <w:p>
      <w:r>
        <w:t xml:space="preserve">|  | Приложение 2 к приказу Заместитель Премьер-Министра – Министр национальной экономики Республики Казахстан от 29 мая 2025 года № 45 |</w:t>
      </w:r>
    </w:p>
    <w:p>
      <w:r>
        <w:t xml:space="preserve">|---|---|</w:t>
      </w:r>
    </w:p>
    <w:p>
      <w:r>
        <w:t xml:space="preserve">|  | Приложение 1 к Правилам формирования тарифов |</w:t>
      </w:r>
    </w:p>
    <w:p>
      <w:r>
        <w:t xml:space="preserve">|  | Форма 12-1 |</w:t>
      </w:r>
    </w:p>
    <w:p>
      <w:pPr>
        <w:pStyle w:val="Heading2"/>
      </w:pPr>
      <w:r>
        <w:t xml:space="preserve">Глава Инвестиционная программа _________________________ (наименование субъекта естественной монополии), реализуемая в рамках национального проекта по модернизации энергетического и коммунального секторов ___________________________________________ (вид деятельности)</w:t>
      </w:r>
    </w:p>
    <w:p>
      <w:pPr>
        <w:pStyle w:val="Heading2"/>
      </w:pPr>
      <w:r>
        <w:t xml:space="preserve">Текст</w:t>
      </w:r>
    </w:p>
    <w:p>
      <w:r>
        <w:t xml:space="preserve">ИИН/БИН</w:t>
      </w:r>
    </w:p>
    <w:p>
      <w:pPr>
        <w:pStyle w:val="Heading2"/>
      </w:pPr>
      <w:r>
        <w:t xml:space="preserve">Текст</w:t>
      </w:r>
    </w:p>
    <w:p>
      <w:r>
        <w:t xml:space="preserve">Период инвестиционной программы: _________ 20__ – 20__ года</w:t>
      </w:r>
    </w:p>
    <w:p>
      <w:r>
        <w:t xml:space="preserve">| № п/п | Наименование мероприятий инвестиционной программы | Единица измерения | Количество | Сумма инвестиций, тысяч тенге (без налога на добавленную стоимость) | Источник финансирования, тысяч тенге |  |  |  |</w:t>
      </w:r>
    </w:p>
    <w:p>
      <w:r>
        <w:t xml:space="preserve">|---|---|---|---|---|---|---|---|---|</w:t>
      </w:r>
    </w:p>
    <w:p>
      <w:r>
        <w:t xml:space="preserve">| Собственные | Заемные | Бюджетные средства | Деятельность, не относящаяся к регулируемым услугам |  |  |  |  |  |</w:t>
      </w:r>
    </w:p>
    <w:p>
      <w:r>
        <w:t xml:space="preserve">| 1 | 2 | 3 | 4 | 5 | 6 | 7 | 8 | 9 |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естественной монополии ____________________________________________ Фамилия, имя, отчество (при его наличии) подпись Дата "___" ______________ 20 года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