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 сентября 2020 года № 353 "Об организации и проведении мирных собраний"</w:t>
      </w:r>
    </w:p>
    <w:p>
      <w:r>
        <w:t xml:space="preserve">Решение, Изменения. Маслихат Камыстинского района. от 16.05.2024. № 196757. редакция от 16.05.2024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"Об организации и проведении мирных собраний" от 2 сентября 2020 года № 353 (зарегистрировано в Реестре государственной регистрации нормативных правовых актов за № 9422) следующие изменения:</w:t>
      </w:r>
    </w:p>
    <w:p>
      <w:r>
        <w:t xml:space="preserve">в приложении 1 к указанному решению строку "Специализированные места для организации и проведения собраний, митингов и пикетирования" изложить в новой редакции:</w:t>
      </w:r>
    </w:p>
    <w:p>
      <w:r>
        <w:t xml:space="preserve">"Специализированные места для организации и проведения мирных собраний";</w:t>
      </w:r>
    </w:p>
    <w:p>
      <w:r>
        <w:t xml:space="preserve">в приложении 2 к указанному решению пункт 18 изложить в новой редакции:</w:t>
      </w:r>
    </w:p>
    <w:p>
      <w:r>
        <w:t xml:space="preserve">"18. Минимальное допустимое расстояние между лицами, осуществляющими пикетирование, составляет не менее 100 метров.";</w:t>
      </w:r>
    </w:p>
    <w:p>
      <w:r>
        <w:t xml:space="preserve">в приложении 2 к указанному решению пункт 20 изложить в новой редакции:</w:t>
      </w:r>
    </w:p>
    <w:p>
      <w:r>
        <w:t xml:space="preserve">"20. Не допускается проведение пикетирования на расстоянии 800 метров от границ прилегающих территорий следующих объектов:</w:t>
      </w:r>
    </w:p>
    <w:p>
      <w:pPr>
        <w:pStyle w:val="Heading2"/>
      </w:pPr>
      <w:r>
        <w:t xml:space="preserve">Подпункт 1</w:t>
      </w:r>
    </w:p>
    <w:p>
      <w:r>
        <w:t xml:space="preserve">1) места массовых захоронений;</w:t>
      </w:r>
    </w:p>
    <w:p>
      <w:pPr>
        <w:pStyle w:val="Heading2"/>
      </w:pPr>
      <w:r>
        <w:t xml:space="preserve">Подпункт 2</w:t>
      </w:r>
    </w:p>
    <w:p>
      <w:r>
        <w:t xml:space="preserve">2) объекты железнодорожного, водного, воздушного и автомобильного транспорта и прилегающих к ним территорий;</w:t>
      </w:r>
    </w:p>
    <w:p>
      <w:pPr>
        <w:pStyle w:val="Heading2"/>
      </w:pPr>
      <w:r>
        <w:t xml:space="preserve">Подпункт 3</w:t>
      </w:r>
    </w:p>
    <w:p>
      <w:r>
        <w:t xml:space="preserve">3) территории, прилегающие к организациям, обеспечивающим обороноспособность, безопасность района и жизнедеятельность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территории, прилегающие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магистральные железнодорожные сети, магистральные трубопроводы, национальной электрической сети, магистральные линии связи и прилегающие к ним территории.".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