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решение Сарканского районного маслихата от 8 декабря 2023 года № 16-64 "Об утверждении правил оказания социальной помощи, установления ее размеров и определения перечня отдельных категорий нуждающихся граждан Сарканского района"</w:t>
      </w:r>
    </w:p>
    <w:p>
      <w:r>
        <w:t xml:space="preserve">Решение. Маслихат Сарканского района. от 09.12.2024. № 204149. редакция от 09.12.2024</w:t>
      </w:r>
    </w:p>
    <w:p>
      <w:pPr>
        <w:pStyle w:val="Heading2"/>
      </w:pPr>
      <w:r>
        <w:t xml:space="preserve">Текст</w:t>
      </w:r>
    </w:p>
    <w:p>
      <w:r>
        <w:t xml:space="preserve">Сарканский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Сарканского районного маслихата от 8 декабря 2023 года № 16-64 "Об утверждении правил оказания социальной помощи, установления ее размеров и определения перечня отдельных категорий нуждающихся граждан Сарканского района" (зарегистрировано в Реестре государственной регистрации нормативных правовых актов под № 189842) следующие изменения и дополнения:</w:t>
      </w:r>
    </w:p>
    <w:p>
      <w:r>
        <w:t xml:space="preserve">в Правилах оказания социальной помощи, установления ее размеров и определения перечня отдельных категорий нуждающихся граждан Сарканского района, утвержденных указанным решением:</w:t>
      </w:r>
    </w:p>
    <w:p>
      <w:r>
        <w:t xml:space="preserve">пункт 2 изложить в следующей редакции:</w:t>
      </w:r>
    </w:p>
    <w:p>
      <w:r>
        <w:t xml:space="preserve">"2.Основные термины и понятия, которые используются в настоящих Правилах:</w:t>
      </w:r>
    </w:p>
    <w:p>
      <w:r>
        <w:t xml:space="preserve">1)Государственная корпорация "Правительство для граждан" (далее – Государственная корпорация) – юридическое лицо, созданное по решению Правительства Республики Казахстан для оказания государственных услуг в соответствии с законодательством Республики Казахстан, организации работы по приему заявлений на оказание государственных услуг и выдаче их результатов услугополучателю по принципу "одного окна", обеспечения оказания государственных услуг в электронной форме;</w:t>
      </w:r>
    </w:p>
    <w:p>
      <w:r>
        <w:t xml:space="preserve">2)специальная комиссия – комиссия, создаваемая решением акима Сарканского района, по рассмотрению заявления лица (семьи), претендующего на оказание социальной помощи отдельным категориям нуждающихся граждан;</w:t>
      </w:r>
    </w:p>
    <w:p>
      <w:pPr>
        <w:pStyle w:val="Heading2"/>
      </w:pPr>
      <w:r>
        <w:t xml:space="preserve">Подпункт 3</w:t>
      </w:r>
    </w:p>
    <w:p>
      <w:r>
        <w:t xml:space="preserve">3) социальная помощь – помощь, предоставляемая местным исполнительным органом (далее – МИО) в денежной или натуральной форме отдельным категориям нуждающихся граждан (далее – получатели), а также к праздничным дням и памятным датам;</w:t>
      </w:r>
    </w:p>
    <w:p>
      <w:pPr>
        <w:pStyle w:val="Heading2"/>
      </w:pPr>
      <w:r>
        <w:t xml:space="preserve">Подпункт 4</w:t>
      </w:r>
    </w:p>
    <w:p>
      <w:r>
        <w:t xml:space="preserve">4) уполномоченный орган по оказанию социальной помощи – государственное учреждение "Отдел занятости и социальных программ Сарканского района";</w:t>
      </w:r>
    </w:p>
    <w:p>
      <w:pPr>
        <w:pStyle w:val="Heading2"/>
      </w:pPr>
      <w:r>
        <w:t xml:space="preserve">Подпункт 5</w:t>
      </w:r>
    </w:p>
    <w:p>
      <w:r>
        <w:t xml:space="preserve">5) уполномоченная организация по выплате социальной помощи – банки второго уровня, организации, имеющие лицензии уполномоченного органа по регулированию, контролю и надзору финансового рынка и финансовых организаций на соответствующие виды банковских операций, территориальные подразделения акционерного общества "Казпочта";</w:t>
      </w:r>
    </w:p>
    <w:p>
      <w:pPr>
        <w:pStyle w:val="Heading2"/>
      </w:pPr>
      <w:r>
        <w:t xml:space="preserve">Подпункт 6</w:t>
      </w:r>
    </w:p>
    <w:p>
      <w:r>
        <w:t xml:space="preserve">6) прожиточный минимум – необходимый минимальный денежный доход на одного человека, равный по величине стоимости минимальной потребительской корзины, рассчитываемый республиканским государственным учреждением "Департамент Бюро национальной статистики Агентства по стратегическому планированию и реформам Республики Казахстан по области Жетісу";</w:t>
      </w:r>
    </w:p>
    <w:p>
      <w:pPr>
        <w:pStyle w:val="Heading2"/>
      </w:pPr>
      <w:r>
        <w:t xml:space="preserve">Подпункт 7</w:t>
      </w:r>
    </w:p>
    <w:p>
      <w:r>
        <w:t xml:space="preserve">7) среднедушевой доход – доля совокупного дохода семьи, приходящаяся на каждого члена семьи в месяц;</w:t>
      </w:r>
    </w:p>
    <w:p>
      <w:pPr>
        <w:pStyle w:val="Heading2"/>
      </w:pPr>
      <w:r>
        <w:t xml:space="preserve">Подпункт 8</w:t>
      </w:r>
    </w:p>
    <w:p>
      <w:r>
        <w:t xml:space="preserve">8) праздничные дни – дни национальных и государственных праздников Республики Казахстан;</w:t>
      </w:r>
    </w:p>
    <w:p>
      <w:pPr>
        <w:pStyle w:val="Heading2"/>
      </w:pPr>
      <w:r>
        <w:t xml:space="preserve">Подпункт 9</w:t>
      </w:r>
    </w:p>
    <w:p>
      <w:r>
        <w:t xml:space="preserve">9) праздничные даты (далее – памятные даты) – профессиональные и иные праздники Республики Казахстан;</w:t>
      </w:r>
    </w:p>
    <w:p>
      <w:pPr>
        <w:pStyle w:val="Heading2"/>
      </w:pPr>
      <w:r>
        <w:t xml:space="preserve">Подпункт 10</w:t>
      </w:r>
    </w:p>
    <w:p>
      <w:r>
        <w:t xml:space="preserve">10) уполномоченный государственный орган – Министерство труда и социальной защиты населения Республики Казахстан;</w:t>
      </w:r>
    </w:p>
    <w:p>
      <w:pPr>
        <w:pStyle w:val="Heading2"/>
      </w:pPr>
      <w:r>
        <w:t xml:space="preserve">Подпункт 11</w:t>
      </w:r>
    </w:p>
    <w:p>
      <w:r>
        <w:t xml:space="preserve">11) участковая комиссия – комиссия, создаваемая решением акима Сарканского района, для проведения обследования материального положения лиц (семей), обратившихся за адресной социальной помощью;</w:t>
      </w:r>
    </w:p>
    <w:p>
      <w:pPr>
        <w:pStyle w:val="Heading2"/>
      </w:pPr>
      <w:r>
        <w:t xml:space="preserve">Подпункт 12</w:t>
      </w:r>
    </w:p>
    <w:p>
      <w:r>
        <w:t xml:space="preserve">12) предельный размер – утвержденный максимальный размер социальной помощи;</w:t>
      </w:r>
    </w:p>
    <w:p>
      <w:pPr>
        <w:pStyle w:val="Heading2"/>
      </w:pPr>
      <w:r>
        <w:t xml:space="preserve">Подпункт 13</w:t>
      </w:r>
    </w:p>
    <w:p>
      <w:r>
        <w:t xml:space="preserve">13) сервис цифровых документов – объект информационно-коммуникационной инфраструктуры "электронного правительства", закрепленный за оператором и предназначенный для отображения и использования документов в электронном виде, сформированных на основании сведений из объектов информатизации;</w:t>
      </w:r>
    </w:p>
    <w:p>
      <w:pPr>
        <w:pStyle w:val="Heading2"/>
      </w:pPr>
      <w:r>
        <w:t xml:space="preserve">Подпункт 14</w:t>
      </w:r>
    </w:p>
    <w:p>
      <w:r>
        <w:t xml:space="preserve">14) веб-портал "электронное правительство" (далее – портал) – объект информатизации, представляющий собой "единое окно" доступа ко всей консолидированной правительственной информации, включая нормативную правовую базу, государственным и иным услугам, оказываемым в электронной форме;</w:t>
      </w:r>
    </w:p>
    <w:p>
      <w:pPr>
        <w:pStyle w:val="Heading2"/>
      </w:pPr>
      <w:r>
        <w:t xml:space="preserve">Подпункт 15</w:t>
      </w:r>
    </w:p>
    <w:p>
      <w:r>
        <w:t xml:space="preserve">15) электронная цифровая подпись (далее – ЭЦП) – набор электронных цифровых символов, созданный средствами электронной цифровой подписи и подтверждающий достоверность электронного документа, его принадлежность и неизменность содержания.";</w:t>
      </w:r>
    </w:p>
    <w:p>
      <w:r>
        <w:t xml:space="preserve">пункт 6 изложить в следующей редакции:</w:t>
      </w:r>
    </w:p>
    <w:p>
      <w:r>
        <w:t xml:space="preserve">"6. Основаниями для отнесения граждан к категории нуждающихся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причинение ущерба гражданину (семье) либо его имуществу вследствие стихийного бедствия;</w:t>
      </w:r>
    </w:p>
    <w:p>
      <w:pPr>
        <w:pStyle w:val="Heading2"/>
      </w:pPr>
      <w:r>
        <w:t xml:space="preserve">Подпункт 2</w:t>
      </w:r>
    </w:p>
    <w:p>
      <w:r>
        <w:t xml:space="preserve">2) причинение ущерба гражданину (семье) либо его имуществу вследствие пожара;</w:t>
      </w:r>
    </w:p>
    <w:p>
      <w:pPr>
        <w:pStyle w:val="Heading2"/>
      </w:pPr>
      <w:r>
        <w:t xml:space="preserve">Подпункт 3</w:t>
      </w:r>
    </w:p>
    <w:p>
      <w:r>
        <w:t xml:space="preserve">3) наличие социально значимого заболевания;</w:t>
      </w:r>
    </w:p>
    <w:p>
      <w:pPr>
        <w:pStyle w:val="Heading2"/>
      </w:pPr>
      <w:r>
        <w:t xml:space="preserve">Подпункт 4</w:t>
      </w:r>
    </w:p>
    <w:p>
      <w:r>
        <w:t xml:space="preserve">4) наличие среднедушевого дохода, не превышающего порога, установленного местными представительными органами, в кратном отношении к прожиточному минимуму;</w:t>
      </w:r>
    </w:p>
    <w:p>
      <w:pPr>
        <w:pStyle w:val="Heading2"/>
      </w:pPr>
      <w:r>
        <w:t xml:space="preserve">Подпункт 5</w:t>
      </w:r>
    </w:p>
    <w:p>
      <w:r>
        <w:t xml:space="preserve">5) сиротство, отсутствие родительского попечения;</w:t>
      </w:r>
    </w:p>
    <w:p>
      <w:pPr>
        <w:pStyle w:val="Heading2"/>
      </w:pPr>
      <w:r>
        <w:t xml:space="preserve">Подпункт 6</w:t>
      </w:r>
    </w:p>
    <w:p>
      <w:r>
        <w:t xml:space="preserve">6) неспособность к самообслуживанию в связи с преклонным возрастом;</w:t>
      </w:r>
    </w:p>
    <w:p>
      <w:pPr>
        <w:pStyle w:val="Heading2"/>
      </w:pPr>
      <w:r>
        <w:t xml:space="preserve">Подпункт 7</w:t>
      </w:r>
    </w:p>
    <w:p>
      <w:r>
        <w:t xml:space="preserve">7) освобождение из мест лишения свободы, нахождение на учете службы пробации.</w:t>
      </w:r>
    </w:p>
    <w:p>
      <w:r>
        <w:t xml:space="preserve">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собственника.</w:t>
      </w:r>
    </w:p>
    <w:p>
      <w:r>
        <w:t xml:space="preserve">Перечень видов помощи по вышеуказанным основаниям для оказания социальной помощи и (или) проведения обследований материально-бытового положения лица (семьи) утверждается местными представительными органами.</w:t>
      </w:r>
    </w:p>
    <w:p>
      <w:r>
        <w:t xml:space="preserve">Специальные комиссии при вынесении заключения о необходимости оказания социальной помощи руководствуются утвержденным местными представительными органами перечнем оснований для отнесения граждан к категории нуждающихся.";</w:t>
      </w:r>
    </w:p>
    <w:p>
      <w:r>
        <w:t xml:space="preserve">подпункт 11 пункта 7 изложить в следующей редакции:</w:t>
      </w:r>
    </w:p>
    <w:p>
      <w:r>
        <w:t xml:space="preserve">"11) одному из законных представителей детей с инвалидностью и лицам, сопровождающим лиц с инвалидностью первой группы на санаторно-курортное лечение единовременно без учета среднедушевого дохода в размере 70 (семидесяти) процентов от гарантированной суммы, предоставляемой в качестве возмещения стоимости санаторно-курортного лечения.";</w:t>
      </w:r>
    </w:p>
    <w:p>
      <w:r>
        <w:t xml:space="preserve">пункты 10 , 11 и 12 изложить в следующей редакции:</w:t>
      </w:r>
    </w:p>
    <w:p>
      <w:r>
        <w:t xml:space="preserve">"10. Социальная помощь к праздничным дням и памятным датам оказывается без истребования заявлений от получателей.</w:t>
      </w:r>
    </w:p>
    <w:p>
      <w:r>
        <w:t xml:space="preserve">Категории получателей социальной помощи определяются МИО.</w:t>
      </w:r>
    </w:p>
    <w:p>
      <w:r>
        <w:t xml:space="preserve">Списки получателей социальной помощи формируются на основании запроса в Государственную корпорацию либо иные организации, либо в электронном виде из информационных систем уполномоченного государственного органа.</w:t>
      </w:r>
    </w:p>
    <w:p>
      <w:pPr>
        <w:pStyle w:val="Heading2"/>
      </w:pPr>
      <w:r>
        <w:t xml:space="preserve">Пункт 11</w:t>
      </w:r>
    </w:p>
    <w:p>
      <w:r>
        <w:t xml:space="preserve">11. Для получения социальной помощи отдельным категориям нуждающихся граждан заявитель от себя или от имени семьи (или представитель по доверенности, выданной в соответствии со статьей 167 Гражданского кодекса Республики Казахстан) обращается письменно в уполномоченный орган по оказанию социальной помощи или к акиму поселка, села, сельского округа, или в Государственную корпорацию с заявлением по форме согласно приложению 1 к Типовым правилам, или электронно на портал с заявлением по форме согласно приложению 1-1 к Типовым правилам.</w:t>
      </w:r>
    </w:p>
    <w:p>
      <w:r>
        <w:t xml:space="preserve">При письменном обращении специалист, принимающий документы, формирует запросы в соответствующие информационные системы (далее – ИС) государственных органов и (или) организаций через шлюз "электронное правительство" по форме согласно приложению 1-2 к Типовым правилам.</w:t>
      </w:r>
    </w:p>
    <w:p>
      <w:r>
        <w:t xml:space="preserve">При несоответствии (отсутствии) сведений в ИС заявителем к заявлению прилагаются следующие документы:</w:t>
      </w:r>
    </w:p>
    <w:p>
      <w:pPr>
        <w:pStyle w:val="Heading2"/>
      </w:pPr>
      <w:r>
        <w:t xml:space="preserve">Подпункт 1</w:t>
      </w:r>
    </w:p>
    <w:p>
      <w:r>
        <w:t xml:space="preserve">1) документ, удостоверяющий личность, либо электронный документ из сервиса цифровых документов (для идентификации личности);</w:t>
      </w:r>
    </w:p>
    <w:p>
      <w:pPr>
        <w:pStyle w:val="Heading2"/>
      </w:pPr>
      <w:r>
        <w:t xml:space="preserve">Подпункт 2</w:t>
      </w:r>
    </w:p>
    <w:p>
      <w:r>
        <w:t xml:space="preserve">2) сведения о доходах лица (членов семьи) (для получения социальной помощи, которая назначается независимо от доходов лица (членов семьи), сведения о доходах лица (членов семьи) не предоставляются);</w:t>
      </w:r>
    </w:p>
    <w:p>
      <w:pPr>
        <w:pStyle w:val="Heading2"/>
      </w:pPr>
      <w:r>
        <w:t xml:space="preserve">Подпункт 3</w:t>
      </w:r>
    </w:p>
    <w:p>
      <w:r>
        <w:t xml:space="preserve">3) один из нижеперечисленных документов, подтверждающих факт наличия оснований для отнесения к категории нуждающихся:</w:t>
      </w:r>
    </w:p>
    <w:p>
      <w:r>
        <w:t xml:space="preserve">документ, подтверждающий факт причиненного ущерба гражданину (семье) либо его имуществу вследствие стихийного бедствия;</w:t>
      </w:r>
    </w:p>
    <w:p>
      <w:r>
        <w:t xml:space="preserve">документ, подтверждающий факт причиненного ущерба гражданину (семье) либо его имуществу вследствие пожара;</w:t>
      </w:r>
    </w:p>
    <w:p>
      <w:r>
        <w:t xml:space="preserve">документ, подтверждающий факт наличия социально значимого заболевания;</w:t>
      </w:r>
    </w:p>
    <w:p>
      <w:r>
        <w:t xml:space="preserve">документ, подтверждающий факт сиротства, отсутствия родительского попечения;</w:t>
      </w:r>
    </w:p>
    <w:p>
      <w:r>
        <w:t xml:space="preserve">документ, подтверждающий факт неспособности к самообслуживанию в связи с преклонным возрастом;</w:t>
      </w:r>
    </w:p>
    <w:p>
      <w:r>
        <w:t xml:space="preserve">документ, подтверждающий факт освобождения из мест лишения свободы, нахождения на учете службы пробации.</w:t>
      </w:r>
    </w:p>
    <w:p>
      <w:r>
        <w:t xml:space="preserve">Документы представляются в подлинниках и копиях для сверки. После сверки подлинники документов возвращаются заявителю.</w:t>
      </w:r>
    </w:p>
    <w:p>
      <w:r>
        <w:t xml:space="preserve">При представлении заявителем неполного пакета документов и (или) документов с истекшим сроком действия заявителю выдается расписка об отказе в приеме заявления на оказание социальной помощи по форме согласно приложению 1-3 к Типовым правилам.</w:t>
      </w:r>
    </w:p>
    <w:p>
      <w:r>
        <w:t xml:space="preserve">При обращении заявителя за социальной помощью электронно посредством портала запрос в ИС государственных органов и (или) организаций для получения необходимых сведений осуществляется самим заявителем.</w:t>
      </w:r>
    </w:p>
    <w:p>
      <w:r>
        <w:t xml:space="preserve">При этом заявитель удостоверяет своей ЭЦП электронное заявление и сведения, поступившие из ИС государственных органов и (или) организаций.</w:t>
      </w:r>
    </w:p>
    <w:p>
      <w:pPr>
        <w:pStyle w:val="Heading2"/>
      </w:pPr>
      <w:r>
        <w:t xml:space="preserve">Пункт 12</w:t>
      </w:r>
    </w:p>
    <w:p>
      <w:r>
        <w:t xml:space="preserve">12. Поступившие заявления, в том числе электронные, уполномоченный орган по оказанию социальной помощи регистрирует в день поступления в течение рабочего дня, а в случае поступления вне времени рабочего дня – в первый рабочий день после даты поступления заявления.</w:t>
      </w:r>
    </w:p>
    <w:p>
      <w:r>
        <w:t xml:space="preserve">При поступлении заявления на оказание социальной помощи отдельным категориям нуждающихся граждан по основаниям, указанным в подпунктах 1), 2) и 4) пункта 6 настоящих Правил, уполномоченный орган по оказанию социальной помощи или акимы поселка, села, сельского округа в течение 1 (один) рабочего дня направляют документы заявителя в участковую комиссию для проведения обследования материального положения лица (семьи).";</w:t>
      </w:r>
    </w:p>
    <w:p>
      <w:r>
        <w:t xml:space="preserve">пункты 18 , 19 , 20 , 21 и 22 изложить в следующей редакции:</w:t>
      </w:r>
    </w:p>
    <w:p>
      <w:r>
        <w:t xml:space="preserve">"18. Уполномоченный орган по оказанию социальной помощи в течение 8 (восемь) рабочих дней со дня регистрации документов заявителя на оказание социальной помощи принимает решение об оказании либо отказе в оказании социальной помощи на основании принятых документов и заключения специальной комиссии о необходимости оказания социальной помощи.</w:t>
      </w:r>
    </w:p>
    <w:p>
      <w:r>
        <w:t xml:space="preserve">В случаях, указанных в пунктах 14 и 15 Правил, уполномоченный орган по оказанию социальной помощи принимает решение об оказании либо отказе в оказании социальной помощи в течение 20 (двадцать) рабочих дней со дня принятия документов от заявителя или акима поселка, села, сельского округа.</w:t>
      </w:r>
    </w:p>
    <w:p>
      <w:r>
        <w:t xml:space="preserve">При выявлении оснований для отказа в оказании социальной помощи уполномоченный орган по оказанию социальной помощи в срок не позднее трех рабочих дней до принятия решения уведомляет заявителя о предварительном решении об отказе, а также проведении заслушивания для предоставления возможности выражения позиции по предварительному решению.</w:t>
      </w:r>
    </w:p>
    <w:p>
      <w:r>
        <w:t xml:space="preserve">Время и дата заслушивания устанавливаются уполномоченным органом по оказанию социальной помощи, которое проводится путем:</w:t>
      </w:r>
    </w:p>
    <w:p>
      <w:r>
        <w:t xml:space="preserve">приглашения заявителя на заслушивание посредством видеоконференцсвязи или иных средств коммуникации;</w:t>
      </w:r>
    </w:p>
    <w:p>
      <w:r>
        <w:t xml:space="preserve">использования информационных систем;</w:t>
      </w:r>
    </w:p>
    <w:p>
      <w:r>
        <w:t xml:space="preserve">иных способов связи, позволяющих заявителю изложить свою позицию.</w:t>
      </w:r>
    </w:p>
    <w:p>
      <w:r>
        <w:t xml:space="preserve">Заявитель вправе предоставить или высказать возражение к предварительному решению по административному делу в срок не позднее двух рабочих дней со дня его получения.</w:t>
      </w:r>
    </w:p>
    <w:p>
      <w:r>
        <w:t xml:space="preserve">В случае устного выражения заявителем своего возражения, уполномоченный орган по оказанию социальной помощи, должностное лицо ведут протокол заслушивания.</w:t>
      </w:r>
    </w:p>
    <w:p>
      <w:r>
        <w:t xml:space="preserve">Уполномоченный орган по оказанию социальной помощи, должностное лицо обязаны обеспечить заявителю возможность ознакомиться с протоколом заслушивания.</w:t>
      </w:r>
    </w:p>
    <w:p>
      <w:r>
        <w:t xml:space="preserve">Заявитель в течение трех рабочих дней после ознакомления вправе представить свои замечания на протокол заслушивания.</w:t>
      </w:r>
    </w:p>
    <w:p>
      <w:r>
        <w:t xml:space="preserve">По результатам рассмотрения замечаний уполномоченный орган по оказанию социальной помощи принимает решение об оказании (отказе в оказании) социальной помощи по форме согласно приложению 4 к Типовым правилам.</w:t>
      </w:r>
    </w:p>
    <w:p>
      <w:pPr>
        <w:pStyle w:val="Heading2"/>
      </w:pPr>
      <w:r>
        <w:t xml:space="preserve">Пункт 19</w:t>
      </w:r>
    </w:p>
    <w:p>
      <w:r>
        <w:t xml:space="preserve">19. Уполномоченный орган по оказанию социальной помощи направляет заявителю уведомление о принятом решении об оказании социальной помощи согласно приложению 5 к Типовым правилам (в случае отказа – согласно приложению 6 к Типовым правилам).</w:t>
      </w:r>
    </w:p>
    <w:p>
      <w:r>
        <w:t xml:space="preserve">Если в заявлении на оказание социальной помощи указан номер мобильного телефона, зарегистрированного в базе мобильных граждан, уведомление об оказании социальной помощи (отказе в оказании) отправляется в автоматическом режиме посредством передачи sms-оповещения на мобильный телефон заявителя.</w:t>
      </w:r>
    </w:p>
    <w:p>
      <w:r>
        <w:t xml:space="preserve">При отсутствии возможности отправки sms-оповещения на мобильный телефон заявителя уполномоченный орган по оказанию социальной помощи или Государственная корпорация распечатывают уведомление об оказании социальной помощи (отказе в оказании) и выдают его при личном обращении заявителю.</w:t>
      </w:r>
    </w:p>
    <w:p>
      <w:r>
        <w:t xml:space="preserve">При подаче заявления посредством портала уведомление об оказании социальной помощи (отказе в оказании) в автоматическом режиме в течение одного рабочего дня со дня принятия решения отправляется в личный кабинет заявителя посредством портала.</w:t>
      </w:r>
    </w:p>
    <w:p>
      <w:pPr>
        <w:pStyle w:val="Heading2"/>
      </w:pPr>
      <w:r>
        <w:t xml:space="preserve">Пункт 20</w:t>
      </w:r>
    </w:p>
    <w:p>
      <w:r>
        <w:t xml:space="preserve">20. Отказ в оказании социальной помощи осуществляется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выявления недостоверных сведений, представленных заявителями;</w:t>
      </w:r>
    </w:p>
    <w:p>
      <w:pPr>
        <w:pStyle w:val="Heading2"/>
      </w:pPr>
      <w:r>
        <w:t xml:space="preserve">Подпункт 2</w:t>
      </w:r>
    </w:p>
    <w:p>
      <w:r>
        <w:t xml:space="preserve">2) отказа, уклонения заявителя от проведения обследования материального положения лица (семьи);</w:t>
      </w:r>
    </w:p>
    <w:p>
      <w:pPr>
        <w:pStyle w:val="Heading2"/>
      </w:pPr>
      <w:r>
        <w:t xml:space="preserve">Подпункт 3</w:t>
      </w:r>
    </w:p>
    <w:p>
      <w:r>
        <w:t xml:space="preserve">3) превышения размера среднедушевого дохода лица (семьи), установленного местными представительными органами порога для оказания социальной помощи;</w:t>
      </w:r>
    </w:p>
    <w:p>
      <w:pPr>
        <w:pStyle w:val="Heading2"/>
      </w:pPr>
      <w:r>
        <w:t xml:space="preserve">Подпункт 4</w:t>
      </w:r>
    </w:p>
    <w:p>
      <w:r>
        <w:t xml:space="preserve">4) получения из информационной системы уполномоченного государственного органа сведений, подтверждающих факты назначения, осуществления выплат, подачи заявления на назначение социальной помощи по данному основанию.</w:t>
      </w:r>
    </w:p>
    <w:p>
      <w:pPr>
        <w:pStyle w:val="Heading2"/>
      </w:pPr>
      <w:r>
        <w:t xml:space="preserve">Пункт 21</w:t>
      </w:r>
    </w:p>
    <w:p>
      <w:r>
        <w:t xml:space="preserve">21. Финансирование расходов на предоставление социальной помощи осуществляется в пределах средств, предусмотренных бюджетом Сарканского района на текущий финансовый год.</w:t>
      </w:r>
    </w:p>
    <w:p>
      <w:r>
        <w:t xml:space="preserve">Уполномоченный орган по оказанию социальной помощи переводит в Государственную корпорацию суммы социальной помощи.</w:t>
      </w:r>
    </w:p>
    <w:p>
      <w:r>
        <w:t xml:space="preserve">Государственная корпорация перечисляет суммы социальной помощи, полученные от уполномоченного органа по оказанию социальной помощи, на банковские счета получателей социальной помощи.</w:t>
      </w:r>
    </w:p>
    <w:p>
      <w:pPr>
        <w:pStyle w:val="Heading2"/>
      </w:pPr>
      <w:r>
        <w:t xml:space="preserve">Пункт 22</w:t>
      </w:r>
    </w:p>
    <w:p>
      <w:r>
        <w:t xml:space="preserve">22. Социальная помощь прекращается в случаях:</w:t>
      </w:r>
    </w:p>
    <w:p>
      <w:pPr>
        <w:pStyle w:val="Heading2"/>
      </w:pPr>
      <w:r>
        <w:t xml:space="preserve">Подпункт 1</w:t>
      </w:r>
    </w:p>
    <w:p>
      <w:r>
        <w:t xml:space="preserve">1) смерти получателя;</w:t>
      </w:r>
    </w:p>
    <w:p>
      <w:pPr>
        <w:pStyle w:val="Heading2"/>
      </w:pPr>
      <w:r>
        <w:t xml:space="preserve">Подпункт 2</w:t>
      </w:r>
    </w:p>
    <w:p>
      <w:r>
        <w:t xml:space="preserve">2) выезда получателя на постоянное проживание за пределы Сарканского района</w:t>
      </w:r>
    </w:p>
    <w:p>
      <w:pPr>
        <w:pStyle w:val="Heading2"/>
      </w:pPr>
      <w:r>
        <w:t xml:space="preserve">Подпункт 3</w:t>
      </w:r>
    </w:p>
    <w:p>
      <w:r>
        <w:t xml:space="preserve">3) направления получателя на проживание в государственные медико-социальные учреждения;</w:t>
      </w:r>
    </w:p>
    <w:p>
      <w:pPr>
        <w:pStyle w:val="Heading2"/>
      </w:pPr>
      <w:r>
        <w:t xml:space="preserve">Подпункт 4</w:t>
      </w:r>
    </w:p>
    <w:p>
      <w:r>
        <w:t xml:space="preserve">4) выявления недостоверных сведений, представленных заявителем;</w:t>
      </w:r>
    </w:p>
    <w:p>
      <w:pPr>
        <w:pStyle w:val="Heading2"/>
      </w:pPr>
      <w:r>
        <w:t xml:space="preserve">Подпункт 5</w:t>
      </w:r>
    </w:p>
    <w:p>
      <w:r>
        <w:t xml:space="preserve">5) выявления сведений об утрате оснований на оказание социальной помощи.</w:t>
      </w:r>
    </w:p>
    <w:p>
      <w:r>
        <w:t xml:space="preserve">Подпункт 3) настоящего пункта не распространяется на выплату социальной помощи, назначенной по основаниям, указанным в подпунктах 1) и 2) пункта 6 Правил.</w:t>
      </w:r>
    </w:p>
    <w:p>
      <w:r>
        <w:t xml:space="preserve">Выплата социальной помощи по основаниям, указанным в подпунктах 1)-3) настоящего пункта, прекращается со следующего месяца после наступления указанных обстоятельств.</w:t>
      </w:r>
    </w:p>
    <w:p>
      <w:r>
        <w:t xml:space="preserve">Выплата социальной помощи по основаниям, указанным в подпунктах 4) и 5) настоящего пункта, прекращается с даты наступления указанных обстоятельств.</w:t>
      </w:r>
    </w:p>
    <w:p>
      <w:r>
        <w:t xml:space="preserve">Получатели в случае возникновения обстоятельств, влияющих на право получения социальной помощи, уведомляет о них в течение десяти рабочих дней.";</w:t>
      </w:r>
    </w:p>
    <w:p>
      <w:r>
        <w:t xml:space="preserve">дополнить пунктами 25 , 26 , 27 , 28 , 29 , 30 , 31 и 32 следующего содержания:</w:t>
      </w:r>
    </w:p>
    <w:p>
      <w:r>
        <w:t xml:space="preserve">"25.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граждан, являющихся (активных) получателями пенсий и пособий.</w:t>
      </w:r>
    </w:p>
    <w:p>
      <w:r>
        <w:t xml:space="preserve">Сведения по получателям пенсий и пособий на оказание социальной помощи формируются по форме согласно приложению 7 к Типовым правилам.</w:t>
      </w:r>
    </w:p>
    <w:p>
      <w:pPr>
        <w:pStyle w:val="Heading2"/>
      </w:pPr>
      <w:r>
        <w:t xml:space="preserve">Пункт 26</w:t>
      </w:r>
    </w:p>
    <w:p>
      <w:r>
        <w:t xml:space="preserve">26.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органа.</w:t>
      </w:r>
    </w:p>
    <w:p>
      <w:pPr>
        <w:pStyle w:val="Heading2"/>
      </w:pPr>
      <w:r>
        <w:t xml:space="preserve">Пункт 27</w:t>
      </w:r>
    </w:p>
    <w:p>
      <w:r>
        <w:t xml:space="preserve">27.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помощи:</w:t>
      </w:r>
    </w:p>
    <w:p>
      <w:r>
        <w:t xml:space="preserve">по единовременным выплатам – ежедневно;</w:t>
      </w:r>
    </w:p>
    <w:p>
      <w:r>
        <w:t xml:space="preserve">по ежемесячным и ежеквартальным выплатам – к 29 числу месяца, предшествующего месяцу выплаты.</w:t>
      </w:r>
    </w:p>
    <w:p>
      <w:pPr>
        <w:pStyle w:val="Heading2"/>
      </w:pPr>
      <w:r>
        <w:t xml:space="preserve">Пункт 28</w:t>
      </w:r>
    </w:p>
    <w:p>
      <w:r>
        <w:t xml:space="preserve">28.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помощи.</w:t>
      </w:r>
    </w:p>
    <w:p>
      <w:r>
        <w:t xml:space="preserve">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сумм, предусмотренных заявкой о сумме потребности на выплату социальной помощи.</w:t>
      </w:r>
    </w:p>
    <w:p>
      <w:r>
        <w:t xml:space="preserve">По заявкам о суммах потребности на выплату социальной помощи, поступившим 27 числа месяца, уполномоченный орган по оказанию социальной помощи перечисляет денежные средства в Государственную корпорацию не ранее первого числа месяца выплаты.</w:t>
      </w:r>
    </w:p>
    <w:p>
      <w:pPr>
        <w:pStyle w:val="Heading2"/>
      </w:pPr>
      <w:r>
        <w:t xml:space="preserve">Пункт 29</w:t>
      </w:r>
    </w:p>
    <w:p>
      <w:r>
        <w:t xml:space="preserve">29.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получателей.</w:t>
      </w:r>
    </w:p>
    <w:p>
      <w:pPr>
        <w:pStyle w:val="Heading2"/>
      </w:pPr>
      <w:r>
        <w:t xml:space="preserve">Пункт 30</w:t>
      </w:r>
    </w:p>
    <w:p>
      <w:r>
        <w:t xml:space="preserve">30.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дней, следующих за днем получения сведений из уполномоченной организации по выплате социальной помощи, вносит соответствующие изменения в информационную систему.</w:t>
      </w:r>
    </w:p>
    <w:p>
      <w:pPr>
        <w:pStyle w:val="Heading2"/>
      </w:pPr>
      <w:r>
        <w:t xml:space="preserve">Пункт 31</w:t>
      </w:r>
    </w:p>
    <w:p>
      <w:r>
        <w:t xml:space="preserve">31.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(выплаченные) суммы социальной помощи, поступившие на счет Государственной корпорации.</w:t>
      </w:r>
    </w:p>
    <w:p>
      <w:pPr>
        <w:pStyle w:val="Heading2"/>
      </w:pPr>
      <w:r>
        <w:t xml:space="preserve">Пункт 32</w:t>
      </w:r>
    </w:p>
    <w:p>
      <w:r>
        <w:t xml:space="preserve">32. Оплата банковских услуг, связанных с выплатой социальной помощи, осуществляется за счет средств местных бюджетов на основании договора, заключаемого между Государственной корпорацией и уполномоченным органом по оказанию социальной помощи.".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Сарканского районного маслихата | М. Разбеков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