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водоохранных зон, полос водных объектов и режима их хозяйственного использования области Жетісу</w:t>
      </w:r>
    </w:p>
    <w:p>
      <w:r>
        <w:t xml:space="preserve">Постановление. Акимат области Жетісу. от 20.03.2024. № 194757. редакция от 24.04.2025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116 Водного Кодекса Республики Казахстан, приказом Министра сельского хозяйства Республики Казахстан от 18 мая 2015 года № 19-1/446 "Об утверждении Правил установления водоохранных зон и полос" (зарегистрирован в Реестре государственной регистрации нормативных правовых актов за № 11838), акимат области Жетісу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Установить водоохранные зоны и полосы водных объектов области Жетісу согласно приложению 1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Установить режим хозяйственного использования водоохранных зон и полос водных объектов области Жетісу согласно приложению 2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курирующего заместителя акима области Жетісу.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области Жетісу | Б. Исабаев |</w:t>
      </w:r>
    </w:p>
    <w:p>
      <w:r>
        <w:t xml:space="preserve">|---|---|</w:t>
      </w:r>
    </w:p>
    <w:p>
      <w:r>
        <w:t xml:space="preserve">|  | Приложение 1 к постановлению акимата области Жетісу от 20 марта 2024 года № 87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в редакции постановления акимата области Жетісу от 24.04.2025</w:t>
      </w:r>
    </w:p>
    <w:p>
      <w:pPr>
        <w:pStyle w:val="Heading2"/>
      </w:pPr>
      <w:r>
        <w:t xml:space="preserve">Глава Водоохранные зоны и полосы водных объектов области Жетісу</w:t>
      </w:r>
    </w:p>
    <w:p>
      <w:r>
        <w:t xml:space="preserve">| № | Наименование водного объекта | Месторасположение | Ширина водоохраной зоны (метр) | Ширина водоохраной полосы (метр) |</w:t>
      </w:r>
    </w:p>
    <w:p>
      <w:r>
        <w:t xml:space="preserve">|---|---|---|---|---|</w:t>
      </w:r>
    </w:p>
    <w:p>
      <w:r>
        <w:t xml:space="preserve">| 1 | река Голубиновка | Кербулакский район | 500 | 35-100 |</w:t>
      </w:r>
    </w:p>
    <w:p>
      <w:r>
        <w:t xml:space="preserve">| 2 | река Мельничная | Ескельдинский район | 500 | 35-100 |</w:t>
      </w:r>
    </w:p>
    <w:p>
      <w:r>
        <w:t xml:space="preserve">| 3 | река Когалы | Кербулакский район | 500 | 35-100 |</w:t>
      </w:r>
    </w:p>
    <w:p>
      <w:r>
        <w:t xml:space="preserve">| 4 | река Сарыбулак | Ескельдинский район | 500 | 35-100 |</w:t>
      </w:r>
    </w:p>
    <w:p>
      <w:r>
        <w:t xml:space="preserve">| 5 | река Тынбас | Кербулакский район | 500 | 35-100 |</w:t>
      </w:r>
    </w:p>
    <w:p>
      <w:r>
        <w:t xml:space="preserve">| 6 | Райские озера | Аксуский район | 300 | 100 |</w:t>
      </w:r>
    </w:p>
    <w:p>
      <w:r>
        <w:t xml:space="preserve">| 7 | Водные объекты в районе проекта Коксай (река Когалы, ручьи Косбастау, Булақ, Карамола, Байгабат, Коксай, Белый ключ, Коноваловская, Бурымбай) | Кербулакский район | 500 | 35 |</w:t>
      </w:r>
    </w:p>
    <w:p>
      <w:r>
        <w:t xml:space="preserve">| 8 | река Шет Тентек | Алакольский район | 500 | 75 |</w:t>
      </w:r>
    </w:p>
    <w:p>
      <w:r>
        <w:t xml:space="preserve">| 9 | река Орта Тентек | Алакольский район | 500 | 35-100 |</w:t>
      </w:r>
    </w:p>
    <w:p>
      <w:r>
        <w:t xml:space="preserve">| 10 | река Капал | Аксуский район | 500 | 35-75 |</w:t>
      </w:r>
    </w:p>
    <w:p>
      <w:r>
        <w:t xml:space="preserve">| 11 | река Кора | Ескельдинский район | 500 | 35-55 |</w:t>
      </w:r>
    </w:p>
    <w:p>
      <w:r>
        <w:t xml:space="preserve">| 12 | река Балыкты | Ескельдинский район, город Талдыкорган | 500 | 35-75 |</w:t>
      </w:r>
    </w:p>
    <w:p>
      <w:r>
        <w:t xml:space="preserve">| 13 | река Текели | Ескельдинский район, город Текели | 500 | 35-75 |</w:t>
      </w:r>
    </w:p>
    <w:p>
      <w:r>
        <w:t xml:space="preserve">| 14 | река Кусак (Кемир) | Ескельдинский район | 500 | 35-100 |</w:t>
      </w:r>
    </w:p>
    <w:p>
      <w:r>
        <w:t xml:space="preserve">| 15 | река Ушарал | Панфиловский район | 500 | 35-75 |</w:t>
      </w:r>
    </w:p>
    <w:p>
      <w:r>
        <w:t xml:space="preserve">| 16 | река Шыжын | Панфиловский район | 500 | 50-100 |</w:t>
      </w:r>
    </w:p>
    <w:p>
      <w:r>
        <w:t xml:space="preserve">| 17 | река Тышкан | Панфиловский район | 500 | 35 |</w:t>
      </w:r>
    </w:p>
    <w:p>
      <w:r>
        <w:t xml:space="preserve">| 18 | река Айнабулак | Кербулакский район | 500 | 35-75 |</w:t>
      </w:r>
    </w:p>
    <w:p>
      <w:r>
        <w:t xml:space="preserve">| 19 | река Майтобе | Кербулакский район | 500 | 35-100 |</w:t>
      </w:r>
    </w:p>
    <w:p>
      <w:r>
        <w:t xml:space="preserve">| 20 | озеро Кошкарколь | Алакольский район | 500 | 35 |</w:t>
      </w:r>
    </w:p>
    <w:p>
      <w:r>
        <w:t xml:space="preserve">| 21 | озеро Усек | Панфиловский район | 500 | 35-55 |</w:t>
      </w:r>
    </w:p>
    <w:p>
      <w:r>
        <w:t xml:space="preserve">| 22 | озеро Балхаш (сельский округ Лепсы) | Сарканский район | 500 | 35-50 |</w:t>
      </w:r>
    </w:p>
    <w:p>
      <w:r>
        <w:t xml:space="preserve">| 23 | озеро Алаколь | Алакольский район | 500 | 35 |</w:t>
      </w:r>
    </w:p>
    <w:p>
      <w:r>
        <w:t xml:space="preserve">| 24 | в пределах границ участка недр на три блока L-44-78 (10e-5b-5), L-44-79 (10г-5а-1,2) рек Шет Тентек и Орта Тентек | Алакольский район | 500 | 35-100 |</w:t>
      </w:r>
    </w:p>
    <w:p>
      <w:r>
        <w:t xml:space="preserve">| 25 | река Бурхан | Панфиловский район | 500-600 | 35-100 |</w:t>
      </w:r>
    </w:p>
    <w:p>
      <w:r>
        <w:t xml:space="preserve">| 26 | река Байгазы | Кербулакский район | 500-600 | 35-100 |</w:t>
      </w:r>
    </w:p>
    <w:p>
      <w:r>
        <w:t xml:space="preserve">| 27 | река Кызылащи | Кербулакский район | 500-550 | 35-100 |</w:t>
      </w:r>
    </w:p>
    <w:p>
      <w:r>
        <w:t xml:space="preserve">| 28 | река Балыкты (в пределах земельных участков с кадастровыми номерами: 03-268-949-381, 03-268-950-379) | город Талдыкорган | 500 | 35-100 |</w:t>
      </w:r>
    </w:p>
    <w:p>
      <w:r>
        <w:t xml:space="preserve">| 29 | ручьи Карагайлы, Самин, Дуйсейн, Шибиже, Шакпакты, Бижинка, река Байтерек, ручей (приток) Когалы, ручей (протока) Кыргауылды, ручей Тасбастау (Тасбастау левый), по притоку Тасбастау (Тасбастау правый), сухое русло без названия-1 в границах проектируемых трасс ВЛ-220 киловольт, ВЛ-110 киловольт и автодороги | Кербулакский район | 500 | 35 |</w:t>
      </w:r>
    </w:p>
    <w:p>
      <w:r>
        <w:t xml:space="preserve">| 30 | рек Байтерек, Развилинка и Мамыркан с притоками, в границах строительства гидротехнических сооружений | Кербулакский район | 500 | 35-100 |</w:t>
      </w:r>
    </w:p>
    <w:p>
      <w:pPr>
        <w:pStyle w:val="Heading2"/>
      </w:pPr>
      <w:r>
        <w:t xml:space="preserve">Текст</w:t>
      </w:r>
    </w:p>
    <w:p>
      <w:r>
        <w:t xml:space="preserve">Примечание: координаты границ водоохранных зон и полос отражены в утвержденной</w:t>
      </w:r>
    </w:p>
    <w:p>
      <w:pPr>
        <w:pStyle w:val="Heading2"/>
      </w:pPr>
      <w:r>
        <w:t xml:space="preserve">Текст</w:t>
      </w:r>
    </w:p>
    <w:p>
      <w:r>
        <w:t xml:space="preserve">проектной документации и картографических материалах.</w:t>
      </w:r>
    </w:p>
    <w:p>
      <w:r>
        <w:t xml:space="preserve">|  | Приложение 2 к постановлению акимата области Жетісу от 20 марта 2024 года № 87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2 в редакции постановления акимата области Жетісу от 24.04.2025</w:t>
      </w:r>
    </w:p>
    <w:p>
      <w:pPr>
        <w:pStyle w:val="Heading2"/>
      </w:pPr>
      <w:r>
        <w:t xml:space="preserve">Глава Режим хозяйственного использования водоохранных зон и полос водных объектов области Жетісу</w:t>
      </w:r>
    </w:p>
    <w:p>
      <w:pPr>
        <w:pStyle w:val="Heading2"/>
      </w:pPr>
      <w:r>
        <w:t xml:space="preserve">Пункт 1</w:t>
      </w:r>
    </w:p>
    <w:p>
      <w:r>
        <w:t xml:space="preserve">1. В пределах водоохранных полос не допускается:</w:t>
      </w:r>
    </w:p>
    <w:p>
      <w:pPr>
        <w:pStyle w:val="Heading2"/>
      </w:pPr>
      <w:r>
        <w:t xml:space="preserve">Подпункт 1</w:t>
      </w:r>
    </w:p>
    <w:p>
      <w:r>
        <w:t xml:space="preserve">1) хозяйственная и иная деятельность, ухудшающая качественное и гидрологическое состояние (загрязнение, засорение, истощение) водных объектов;</w:t>
      </w:r>
    </w:p>
    <w:p>
      <w:pPr>
        <w:pStyle w:val="Heading2"/>
      </w:pPr>
      <w:r>
        <w:t xml:space="preserve">Подпункт 2</w:t>
      </w:r>
    </w:p>
    <w:p>
      <w:r>
        <w:t xml:space="preserve">2) строительство и эксплуатация зданий и сооружений, за исключением водохозяйственных и водозаборных сооружений и их коммуникаций, мостов, мостовых сооружений, причалов, портов, пирсов и иных объектов транспортной инфраструктуры, связанных с деятельностью водного транспорта, промыслового рыболовства, рыбоводных объектов, связанных с размещением и обслуживанием рыбоводных хозяйств и коммуникаций к ним, рыбохозяйственных технологических водоемов, объектов по использованию возобновляемых источников энергии (гидродинамической энергии воды), а также рекреационных зон на водном объекте, без строительства зданий и сооружений досугового и (или) оздоровительного назначения;</w:t>
      </w:r>
    </w:p>
    <w:p>
      <w:pPr>
        <w:pStyle w:val="Heading2"/>
      </w:pPr>
      <w:r>
        <w:t xml:space="preserve">Подпункт 3</w:t>
      </w:r>
    </w:p>
    <w:p>
      <w:r>
        <w:t xml:space="preserve">3) предоставление земельных участков под садоводство и дачное строительство;</w:t>
      </w:r>
    </w:p>
    <w:p>
      <w:pPr>
        <w:pStyle w:val="Heading2"/>
      </w:pPr>
      <w:r>
        <w:t xml:space="preserve">Подпункт 4</w:t>
      </w:r>
    </w:p>
    <w:p>
      <w:r>
        <w:t xml:space="preserve">4) эксплуатация существующих объектов, не обеспеченных сооружениями и устройствами, предотвращающими загрязнение водных объектов и их водоохранных зон и полос;</w:t>
      </w:r>
    </w:p>
    <w:p>
      <w:pPr>
        <w:pStyle w:val="Heading2"/>
      </w:pPr>
      <w:r>
        <w:t xml:space="preserve">Подпункт 5</w:t>
      </w:r>
    </w:p>
    <w:p>
      <w:r>
        <w:t xml:space="preserve">5) проведение работ, нарушающих почвенный и травяной покров (в том числе распашка земель, выпас скота, добыча полезных ископаемых), за исключением обработки земель для залужения отдельных участков, посева и посадки леса;</w:t>
      </w:r>
    </w:p>
    <w:p>
      <w:pPr>
        <w:pStyle w:val="Heading2"/>
      </w:pPr>
      <w:r>
        <w:t xml:space="preserve">Подпункт 6</w:t>
      </w:r>
    </w:p>
    <w:p>
      <w:r>
        <w:t xml:space="preserve">6) устройство палаточных городков, постоянных стоянок для транспортных средств, летних лагерей для скота;</w:t>
      </w:r>
    </w:p>
    <w:p>
      <w:pPr>
        <w:pStyle w:val="Heading2"/>
      </w:pPr>
      <w:r>
        <w:t xml:space="preserve">Подпункт 7</w:t>
      </w:r>
    </w:p>
    <w:p>
      <w:r>
        <w:t xml:space="preserve">7) применение всех видов пестицидов и удобрений.</w:t>
      </w:r>
    </w:p>
    <w:p>
      <w:pPr>
        <w:pStyle w:val="Heading2"/>
      </w:pPr>
      <w:r>
        <w:t xml:space="preserve">Пункт 2</w:t>
      </w:r>
    </w:p>
    <w:p>
      <w:r>
        <w:t xml:space="preserve">2. В пределах водоохранных зон не допускается:</w:t>
      </w:r>
    </w:p>
    <w:p>
      <w:pPr>
        <w:pStyle w:val="Heading2"/>
      </w:pPr>
      <w:r>
        <w:t xml:space="preserve">Подпункт 1</w:t>
      </w:r>
    </w:p>
    <w:p>
      <w:r>
        <w:t xml:space="preserve">1) ввод в эксплуатацию новых и реконструированных объектов, не обеспеченных сооружениями и устройствами, предотвращающими загрязнение и засорение водных объектов и их водоохранных зон и полос;</w:t>
      </w:r>
    </w:p>
    <w:p>
      <w:pPr>
        <w:pStyle w:val="Heading2"/>
      </w:pPr>
      <w:r>
        <w:t xml:space="preserve">Подпункт 2</w:t>
      </w:r>
    </w:p>
    <w:p>
      <w:r>
        <w:t xml:space="preserve">2) проведение реконструкции зданий, сооружений, коммуникаций и других объектов, а также производство строительных, дноуглубительных и взрывных работ, добыча полезных ископаемых, прокладка кабелей, трубопроводов и других коммуникаций, буровых, земельных и иных работ без проектов, согласованных в установленном порядке с местными исполнительными органами, бассейновыми инспекциями, уполномоченным государственным органом в области охраны окружающей среды, государственным органом в сфере санитарно-эпидемиологического благополучия населения и другими заинтересованными органами;</w:t>
      </w:r>
    </w:p>
    <w:p>
      <w:pPr>
        <w:pStyle w:val="Heading2"/>
      </w:pPr>
      <w:r>
        <w:t xml:space="preserve">Подпункт 3</w:t>
      </w:r>
    </w:p>
    <w:p>
      <w:r>
        <w:t xml:space="preserve">3) размещение и строительство складов для хранения удобрений, пестицидов, нефтепродуктов, пунктов технического обслуживания, мойки транспортных средств и сельскохозяйственной техники, механических мастерских, устройство свалок бытовых и промышленных отходов, площадок для заправки аппаратуры пестицидами, взлетно-посадочных полос для проведения авиационно-химических работ, а также размещение других объектов, отрицательно влияющих на качество воды;</w:t>
      </w:r>
    </w:p>
    <w:p>
      <w:pPr>
        <w:pStyle w:val="Heading2"/>
      </w:pPr>
      <w:r>
        <w:t xml:space="preserve">Подпункт 4</w:t>
      </w:r>
    </w:p>
    <w:p>
      <w:r>
        <w:t xml:space="preserve">4) размещение животноводческих ферм и комплексов, накопителей сточных вод, полей орошения сточными водами, кладбищ, скотомогильников (биотермических ям), а также других объектов, обусловливающих опасность микробного загрязнения поверхностных и подземных вод;</w:t>
      </w:r>
    </w:p>
    <w:p>
      <w:pPr>
        <w:pStyle w:val="Heading2"/>
      </w:pPr>
      <w:r>
        <w:t xml:space="preserve">Подпункт 5</w:t>
      </w:r>
    </w:p>
    <w:p>
      <w:r>
        <w:t xml:space="preserve">5) выпас скота с превышением нормы нагрузки, купание и санитарная обработка скота и другие виды хозяйственной деятельности, ухудшающие режим водоемов;</w:t>
      </w:r>
    </w:p>
    <w:p>
      <w:pPr>
        <w:pStyle w:val="Heading2"/>
      </w:pPr>
      <w:r>
        <w:t xml:space="preserve">Подпункт 6</w:t>
      </w:r>
    </w:p>
    <w:p>
      <w:r>
        <w:t xml:space="preserve">6) применение способа авиаобработки пестицидами и авиаподкормки минеральными удобрениями сельскохозяйственных культур и лесонасаждений на расстоянии менее двух тысяч метров от уреза воды в водном источнике;</w:t>
      </w:r>
    </w:p>
    <w:p>
      <w:pPr>
        <w:pStyle w:val="Heading2"/>
      </w:pPr>
      <w:r>
        <w:t xml:space="preserve">Подпункт 7</w:t>
      </w:r>
    </w:p>
    <w:p>
      <w:r>
        <w:t xml:space="preserve">7) применение пестицидов, на которые не установлены предельно допустимые концентрации, внесение удобрений по снежному покрову, а также использование в качестве удобрений необезвреженных навозосодержащих сточных вод и стойких хлорорганических пестицидов.</w:t>
      </w:r>
    </w:p>
    <w:p>
      <w:r>
        <w:t xml:space="preserve">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