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размера и порядка оказания жилищной помощи в Байзакском районе</w:t>
      </w:r>
    </w:p>
    <w:p>
      <w:r>
        <w:t xml:space="preserve">Решение. Маслихат Байзакского района. от 29.03.2024. № 195333. редакция от 29.03.2024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97 Закона Республики Казахстан "О жилищных отношениях", статьей 27 Закона Республики Казахстан "О правовых актах" и Приказом Министра промышленности и строительства Республики Казахстан от 8 декабря 2023 года № 117 "Об утверждении Правил предоставления жилищной помощи" (зарегистрировано в Реестре государственной регистрации нормативных правовых актов за № 33763), Байзакский районый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Определить размер и порядок оказания жилищной помощи в Байзакском районе согласно приложению 1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утратившими силу некоторых решении Байзакского районного маслихата, согласно приложению 2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первого официального опубликования.</w:t>
      </w:r>
    </w:p>
    <w:p>
      <w:r>
        <w:t xml:space="preserve">| Председатель Байзакского районного маслихата | Б. Акбаев |</w:t>
      </w:r>
    </w:p>
    <w:p>
      <w:r>
        <w:t xml:space="preserve">|---|---|</w:t>
      </w:r>
    </w:p>
    <w:p>
      <w:r>
        <w:t xml:space="preserve">|  | Приложение 1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от 29 марта 2024 года № 22-5 |</w:t>
      </w:r>
    </w:p>
    <w:p>
      <w:pPr>
        <w:pStyle w:val="Heading2"/>
      </w:pPr>
      <w:r>
        <w:t xml:space="preserve">Глава Об определении размера и порядка оказания жилищной помощи в Байзакском районе</w:t>
      </w:r>
    </w:p>
    <w:p>
      <w:pPr>
        <w:pStyle w:val="Heading2"/>
      </w:pPr>
      <w:r>
        <w:t xml:space="preserve">Пункт 1</w:t>
      </w:r>
    </w:p>
    <w:p>
      <w:r>
        <w:t xml:space="preserve">1. Размер и порядок оказания жилищной помощи в Байзакском районе (далее - Порядок) разработаны в соответствии с Законом Республики Казахстан "О жилищных отношениях" и Приказом Министра промышленности и строительства Республики Казахстан от 8 декабря 2023 года № 117 "Об утверждении Правил предоставления жилищной помощи" (зарегистрировано в Реестре государственной регистрации нормативных правовых актов за № 33763).</w:t>
      </w:r>
    </w:p>
    <w:p>
      <w:pPr>
        <w:pStyle w:val="Heading2"/>
      </w:pPr>
      <w:r>
        <w:t xml:space="preserve">Пункт 2</w:t>
      </w:r>
    </w:p>
    <w:p>
      <w:r>
        <w:t xml:space="preserve">2. Назначение жилищной помощи осуществляется государственным учреждением "Отдел занятости и социальных программ акимата Байзакского района" (далее - услугодатель).</w:t>
      </w:r>
    </w:p>
    <w:p>
      <w:r>
        <w:t xml:space="preserve">Жилищная помощь предоставляется за счет средств местного бюджета малообеспеченным семьям (гражданам) (далее-услугополучатель) проживающим и зарегистрированным в Байзакском районе, постоянно зарегистрированным и проживающим в жилище, которое находится на праве собственности как единственное жилище на территории Республики Казахстан, а также нанимателям (поднанимателям) жилища из государственного жилищного фонда и жилища, арендованного местным исполнительным органом в частном жилищном фонде, на оплату:</w:t>
      </w:r>
    </w:p>
    <w:p>
      <w:r>
        <w:t xml:space="preserve">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кондоминиума;</w:t>
      </w:r>
    </w:p>
    <w:p>
      <w:r>
        <w:t xml:space="preserve">потребления коммунальных услуг и услуг связи в части увеличения абонентской платы за телефон, подключенный к сети телекоммуникаций;</w:t>
      </w:r>
    </w:p>
    <w:p>
      <w:r>
        <w:t xml:space="preserve">расходов за пользование жилищем из государственного жилищного фонда и жилищем, арендованным местным исполнительным органом в частном жилищном фонде.</w:t>
      </w:r>
    </w:p>
    <w:p>
      <w:r>
        <w:t xml:space="preserve">Расходы услугополучателя, принимаемые к исчислению жилищной помощи, определяются как сумма расходов по каждому из вышеуказанных направлений.</w:t>
      </w:r>
    </w:p>
    <w:p>
      <w:r>
        <w:t xml:space="preserve">Жилищная помощь определяется как разница между суммой оплаты 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и предельно допустимым уровнем расходов услугополучателя на эти цели, установленным местными представительными органами.</w:t>
      </w:r>
    </w:p>
    <w:p>
      <w:r>
        <w:t xml:space="preserve">Предельно допустимый уровень расходов к совокупному доходу услугополучателя устанавлен в размере 10 (десяти) процентов.</w:t>
      </w:r>
    </w:p>
    <w:p>
      <w:pPr>
        <w:pStyle w:val="Heading2"/>
      </w:pPr>
      <w:r>
        <w:t xml:space="preserve">Пункт 3</w:t>
      </w:r>
    </w:p>
    <w:p>
      <w:r>
        <w:t xml:space="preserve">3. Жилищная помощь оказывается по предъявленным поставщиками счетам о ежемесячных взносах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 согласно смете расходов и счетам на оплату коммунальных услуг за счет бюджетных средств услугополучателям.</w:t>
      </w:r>
    </w:p>
    <w:p>
      <w:pPr>
        <w:pStyle w:val="Heading2"/>
      </w:pPr>
      <w:r>
        <w:t xml:space="preserve">Пункт 4</w:t>
      </w:r>
    </w:p>
    <w:p>
      <w:r>
        <w:t xml:space="preserve">4. Совокупный доход услугополучателя претендующей на получение жилищной помощи, исчисляется услугодателем за квартал, предшествовавший кварталу обращения за назначением жилищной помощи, в порядке определяемом Правилам.</w:t>
      </w:r>
    </w:p>
    <w:p>
      <w:pPr>
        <w:pStyle w:val="Heading2"/>
      </w:pPr>
      <w:r>
        <w:t xml:space="preserve">Пункт 5</w:t>
      </w:r>
    </w:p>
    <w:p>
      <w:r>
        <w:t xml:space="preserve">5. Услугополучатель (либо его представитель в силу полномочия, основанного на доверенности, законодательстве, решении суда либо административном акте) обращается за назначением жилищной помощи один раз в квартал в Государственную корпорацию или веб-портал "электронного правительства".</w:t>
      </w:r>
    </w:p>
    <w:p>
      <w:r>
        <w:t xml:space="preserve">Перечень документов и сведений, истребуемых у услугополучателя для оказания государственной услуги.</w:t>
      </w:r>
    </w:p>
    <w:p>
      <w:pPr>
        <w:pStyle w:val="Heading2"/>
      </w:pPr>
      <w:r>
        <w:t xml:space="preserve">Подпункт 1</w:t>
      </w:r>
    </w:p>
    <w:p>
      <w:r>
        <w:t xml:space="preserve">1) в Государственную корпорацию:</w:t>
      </w:r>
    </w:p>
    <w:p>
      <w:r>
        <w:t xml:space="preserve">заявление по форме согласно приложению 1 к Правилам;</w:t>
      </w:r>
    </w:p>
    <w:p>
      <w:r>
        <w:t xml:space="preserve">документ, удостоверяющий личность, либо электронный документ из сервиса цифровых документов (для идентификации личности);</w:t>
      </w:r>
    </w:p>
    <w:p>
      <w:r>
        <w:t xml:space="preserve">документы, подтверждающие доходы семьи (за исключением сведений получаемых из соответствующих государственных информационных систем);</w:t>
      </w:r>
    </w:p>
    <w:p>
      <w:r>
        <w:t xml:space="preserve">справка с места работы либо справка о регистрации в качестве безработного лица (за исключением сведений получаемых из соответствующих государственных информационных систем);</w:t>
      </w:r>
    </w:p>
    <w:p>
      <w:r>
        <w:t xml:space="preserve">сведения об алиментах на детей и других иждивенцев;</w:t>
      </w:r>
    </w:p>
    <w:p>
      <w:r>
        <w:t xml:space="preserve">банковский счет;</w:t>
      </w:r>
    </w:p>
    <w:p>
      <w:r>
        <w:t xml:space="preserve">счета о размерах ежемесячных взносов на содержание жилого дома (жилого здания);</w:t>
      </w:r>
    </w:p>
    <w:p>
      <w:r>
        <w:t xml:space="preserve">счета на потребление коммунальных услуг;</w:t>
      </w:r>
    </w:p>
    <w:p>
      <w:r>
        <w:t xml:space="preserve">квитанцию-счет за услуги телекоммуникаций или копия договора на оказание услуг связи;</w:t>
      </w:r>
    </w:p>
    <w:p>
      <w:r>
        <w:t xml:space="preserve">счет о размере арендной платы за пользование жилищем, арендованным местным исполнительным органом в частном жилищном фонде, предъявленный местным исполнительным органом;</w:t>
      </w:r>
    </w:p>
    <w:p>
      <w:pPr>
        <w:pStyle w:val="Heading2"/>
      </w:pPr>
      <w:r>
        <w:t xml:space="preserve">Подпункт 2</w:t>
      </w:r>
    </w:p>
    <w:p>
      <w:r>
        <w:t xml:space="preserve">2) на веб-портал "электронного правительства":</w:t>
      </w:r>
    </w:p>
    <w:p>
      <w:r>
        <w:t xml:space="preserve">запрос в форме электронного документа, удостоверенный ЭЦП услугополучателя;</w:t>
      </w:r>
    </w:p>
    <w:p>
      <w:r>
        <w:t xml:space="preserve">электронная копия документов, подтверждающих доходы семьи;</w:t>
      </w:r>
    </w:p>
    <w:p>
      <w:r>
        <w:t xml:space="preserve">электронная копия справки с места работы либо справка о регистрации в качестве безработного лица;</w:t>
      </w:r>
    </w:p>
    <w:p>
      <w:r>
        <w:t xml:space="preserve">электронная копия сведений об алиментах на детей и других иждивенцев;</w:t>
      </w:r>
    </w:p>
    <w:p>
      <w:r>
        <w:t xml:space="preserve">электронная копия банковского счета;</w:t>
      </w:r>
    </w:p>
    <w:p>
      <w:r>
        <w:t xml:space="preserve">электронную копию счета о размерах ежемесячных взносов на содержание жилого дома (жилого здания);</w:t>
      </w:r>
    </w:p>
    <w:p>
      <w:r>
        <w:t xml:space="preserve">электронную копию счета на потребление коммунальных услуг;</w:t>
      </w:r>
    </w:p>
    <w:p>
      <w:r>
        <w:t xml:space="preserve">электронную копию квитанцию-счет за услуги телекоммуникаций или копию договора на оказание услуг связи;</w:t>
      </w:r>
    </w:p>
    <w:p>
      <w:r>
        <w:t xml:space="preserve">электронную копию счета о размере арендной платы за пользование жилищем, арендованным местным исполнительным органом в частном жилищном фонде, предъявленного местным исполнительным органом.</w:t>
      </w:r>
    </w:p>
    <w:p>
      <w:r>
        <w:t xml:space="preserve">При повторном обращении услогополучатель представляет только подтверждающие документы о доходах семьи и счета на коммунальные расходов за истекщий квартал перед обращением.</w:t>
      </w:r>
    </w:p>
    <w:p>
      <w:pPr>
        <w:pStyle w:val="Heading2"/>
      </w:pPr>
      <w:r>
        <w:t xml:space="preserve">Пункт 6</w:t>
      </w:r>
    </w:p>
    <w:p>
      <w:r>
        <w:t xml:space="preserve">6. Срок рассмотрения документов и принятия решения о предоставлении жилищной помощи либо мотивированный ответ об отказе со дня принятия полного пакета документов от Государственной корпорации, либо веб-портал "электронного правительство" составляет 8 (восемь) рабочих дней.</w:t>
      </w:r>
    </w:p>
    <w:p>
      <w:pPr>
        <w:pStyle w:val="Heading2"/>
      </w:pPr>
      <w:r>
        <w:t xml:space="preserve">Пункт 7</w:t>
      </w:r>
    </w:p>
    <w:p>
      <w:r>
        <w:t xml:space="preserve">7. Основания для отказа в оказании государственной услуги:</w:t>
      </w:r>
    </w:p>
    <w:p>
      <w:pPr>
        <w:pStyle w:val="Heading2"/>
      </w:pPr>
      <w:r>
        <w:t xml:space="preserve">Подпункт 1</w:t>
      </w:r>
    </w:p>
    <w:p>
      <w:r>
        <w:t xml:space="preserve"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</w:r>
    </w:p>
    <w:p>
      <w:pPr>
        <w:pStyle w:val="Heading2"/>
      </w:pPr>
      <w:r>
        <w:t xml:space="preserve">Подпункт 2</w:t>
      </w:r>
    </w:p>
    <w:p>
      <w:r>
        <w:t xml:space="preserve"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в настоящих Правилах;</w:t>
      </w:r>
    </w:p>
    <w:p>
      <w:pPr>
        <w:pStyle w:val="Heading2"/>
      </w:pPr>
      <w:r>
        <w:t xml:space="preserve">Подпункт 3</w:t>
      </w:r>
    </w:p>
    <w:p>
      <w:r>
        <w:t xml:space="preserve"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</w:r>
    </w:p>
    <w:p>
      <w:pPr>
        <w:pStyle w:val="Heading2"/>
      </w:pPr>
      <w:r>
        <w:t xml:space="preserve">Подпункт 4</w:t>
      </w:r>
    </w:p>
    <w:p>
      <w:r>
        <w:t xml:space="preserve">4) в отношении услугополучателя имеется вступившее в законную силу решение суда, на основании которого услугополучательлишен специального права, связанного с получением государственной услуги.</w:t>
      </w:r>
    </w:p>
    <w:p>
      <w:pPr>
        <w:pStyle w:val="Heading2"/>
      </w:pPr>
      <w:r>
        <w:t xml:space="preserve">Пункт 8</w:t>
      </w:r>
    </w:p>
    <w:p>
      <w:r>
        <w:t xml:space="preserve">8. Назначение жилищной помощи услугополучателям производится в соответствии с нижеследующими нормами потребления:</w:t>
      </w:r>
    </w:p>
    <w:p>
      <w:r>
        <w:t xml:space="preserve">Нормы площади жилья, обеспечиваемые компенсационными мерами на один месяц:</w:t>
      </w:r>
    </w:p>
    <w:p>
      <w:r>
        <w:t xml:space="preserve">для одиноких граждан – 30 (тридцать) квадратных метров, но не более размера фактически занимаемой площади;</w:t>
      </w:r>
    </w:p>
    <w:p>
      <w:r>
        <w:t xml:space="preserve">для семьи из двух более человек– 18 (воеснадцать) квадратных метров на каждого члена семьи, но не более фактически занимаемой площади.</w:t>
      </w:r>
    </w:p>
    <w:p>
      <w:r>
        <w:t xml:space="preserve">Если нормативы и тарифы на расходы не определены в установленном законодательством порядке, возмещение затрат производится по фактическим расходам.</w:t>
      </w:r>
    </w:p>
    <w:p>
      <w:pPr>
        <w:pStyle w:val="Heading2"/>
      </w:pPr>
      <w:r>
        <w:t xml:space="preserve">Пункт 9</w:t>
      </w:r>
    </w:p>
    <w:p>
      <w:r>
        <w:t xml:space="preserve">9. Выплата компенсации повышения тарифов абонентской платы за оказание услуг телекоммуникации осущестляется в соответствии с приказом Министра цифрового развития, инноваций и аэрокосмической промышленности Республики Казахстан "Об определении размеров и утверждении Правил компенсации повышения тарифов абонентской платы за оказание услуг телекоммуникации социально защищаемым гражданам".</w:t>
      </w:r>
    </w:p>
    <w:p>
      <w:pPr>
        <w:pStyle w:val="Heading2"/>
      </w:pPr>
      <w:r>
        <w:t xml:space="preserve">Пункт 10</w:t>
      </w:r>
    </w:p>
    <w:p>
      <w:r>
        <w:t xml:space="preserve">10. Услугополучатели в течение десяти дней информируют услугодателем о любых изменениях формы собственности жилья, состава семьи, совокупного дохода и других факторах, влияющих на размер жилищной помощи, а также о случаях неверного начисления жилищной помощи.</w:t>
      </w:r>
    </w:p>
    <w:p>
      <w:r>
        <w:t xml:space="preserve">При несвоевременном извещении услугополучателем об обстоятельствах, влияющих на размер жилищной помощи, размер помощи пересчитывается с момента наступления указанных обстоятельств, но не ранее дня ее назначения, а в случае выявления представления услугополучателем ложных сведений и (или) недостоверных документов, повлекших за собой незаконное назначение и (или) выплату жилищной помощи, выплата жилищной помощи лицу (семье) прекращается.</w:t>
      </w:r>
    </w:p>
    <w:p>
      <w:r>
        <w:t xml:space="preserve">Услугополучатели несут ответственность за достоверность представленных сведений в установленном законодательством порядке.</w:t>
      </w:r>
    </w:p>
    <w:p>
      <w:r>
        <w:t xml:space="preserve">Излишние или необоснованно полученные суммы жилищной помощи подлежат возврату услугополучателем в добровольном порядке, а в случае отказа в судебном порядке.</w:t>
      </w:r>
    </w:p>
    <w:p>
      <w:pPr>
        <w:pStyle w:val="Heading2"/>
      </w:pPr>
      <w:r>
        <w:t xml:space="preserve">Пункт 11</w:t>
      </w:r>
    </w:p>
    <w:p>
      <w:r>
        <w:t xml:space="preserve">11. Назначение жилищной помощи осуществляется в пределах средств, предусмотренных в бюджете района на соответствующий финансовый год услугополучателям.</w:t>
      </w:r>
    </w:p>
    <w:p>
      <w:pPr>
        <w:pStyle w:val="Heading2"/>
      </w:pPr>
      <w:r>
        <w:t xml:space="preserve">Пункт 12</w:t>
      </w:r>
    </w:p>
    <w:p>
      <w:r>
        <w:t xml:space="preserve">12. Выплата жилищной помощи услугополучателю осуществляется услугодателем через банки второго уровня путем перечисления начисленных сумм на лицевые счета услугополучателю.</w:t>
      </w:r>
    </w:p>
    <w:p>
      <w:r>
        <w:t xml:space="preserve">|  | Приложение 2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от 29 марта 2024 года № 22-5 |</w:t>
      </w:r>
    </w:p>
    <w:p>
      <w:pPr>
        <w:pStyle w:val="Heading2"/>
      </w:pPr>
      <w:r>
        <w:t xml:space="preserve">Глава Перечень утративших силу некоторых решений Байзакского районного маслихата</w:t>
      </w:r>
    </w:p>
    <w:p>
      <w:pPr>
        <w:pStyle w:val="Heading2"/>
      </w:pPr>
      <w:r>
        <w:t xml:space="preserve">Пункт 1</w:t>
      </w:r>
    </w:p>
    <w:p>
      <w:r>
        <w:t xml:space="preserve">1. Решение Байзакского районного маслихата Жамбылской области от 24 июня 2020 года № 117 "Об утверждении Правил оказания жилищной помощи малообеспеченным семьям (гражданам) Байзакского района" (зарегистрировано в Реестре государственной регистрации нормативно правовых актов за номером 4643)</w:t>
      </w:r>
    </w:p>
    <w:p>
      <w:pPr>
        <w:pStyle w:val="Heading2"/>
      </w:pPr>
      <w:r>
        <w:t xml:space="preserve">Пункт 2</w:t>
      </w:r>
    </w:p>
    <w:p>
      <w:r>
        <w:t xml:space="preserve">2. Решение Байзакский районнный маслихата Жамбылской области от 25.08.2020 года № 71-5 "О внесении изменений в решение Байзакского районного маслихата от 24 июня № 67-14 "Об утверждении Правил оказания жилищной помощи малообеспеченным семьям (гражданам) Байзаксгого района" (зарегистрировано в Реестре государственной регистрации нормативно правовых актов за номером 4726).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