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энергетики Республики Казахстан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14.10.2024. № 201761. редакция от 14.10.2024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18 декабря 2014 года № 210 "Об утверждении Электросетевых правил" (зарегистрирован в Реестре государственной регистрации нормативных правовых актов за № 10899) следующие изменения и дополнения: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283)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</w:t>
      </w:r>
    </w:p>
    <w:p>
      <w:r>
        <w:t xml:space="preserve">в Электросетевых правилах 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Электросетевые правила (далее – Правила) разработаны в соответствии с подпунктом 283) пункта 15 Положения о Министерстве энергетики Республики Казахстан (далее – Положение), утвержденного постановлением Правительства Республики Казахстан от 19 сентября 2014 года № 994.";</w:t>
      </w:r>
    </w:p>
    <w:p>
      <w:r>
        <w:t xml:space="preserve">пункт 2 изложить в новой редакции:</w:t>
      </w:r>
    </w:p>
    <w:p>
      <w:r>
        <w:t xml:space="preserve">"2.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балансовая принадлежность – участок электрической сети энергопроизводящей, энергопередающей организации и потребителя, принадлежащий им на праве собственности или ином законном основании;</w:t>
      </w:r>
    </w:p>
    <w:p>
      <w:pPr>
        <w:pStyle w:val="Heading2"/>
      </w:pPr>
      <w:r>
        <w:t xml:space="preserve">Подпункт 2</w:t>
      </w:r>
    </w:p>
    <w:p>
      <w:r>
        <w:t xml:space="preserve">2) генерирующая установка - устройство, вырабатывающее электрическую энергию;</w:t>
      </w:r>
    </w:p>
    <w:p>
      <w:pPr>
        <w:pStyle w:val="Heading2"/>
      </w:pPr>
      <w:r>
        <w:t xml:space="preserve">Подпункт 3</w:t>
      </w:r>
    </w:p>
    <w:p>
      <w:r>
        <w:t xml:space="preserve">3) пользователь сети – потребитель электроэнергии мощностью в точке подключения к национальной электрической сети более 1 мегаватт (далее – МВт);</w:t>
      </w:r>
    </w:p>
    <w:p>
      <w:pPr>
        <w:pStyle w:val="Heading2"/>
      </w:pPr>
      <w:r>
        <w:t xml:space="preserve">Подпункт 4</w:t>
      </w:r>
    </w:p>
    <w:p>
      <w:r>
        <w:t xml:space="preserve">4) высокое напряжение - напряжение 1000 Вольт (далее – В) и выше;</w:t>
      </w:r>
    </w:p>
    <w:p>
      <w:pPr>
        <w:pStyle w:val="Heading2"/>
      </w:pPr>
      <w:r>
        <w:t xml:space="preserve">Подпункт 5</w:t>
      </w:r>
    </w:p>
    <w:p>
      <w:r>
        <w:t xml:space="preserve">5) национальный диспетчерский центр системного оператора (далее – НДЦ СО) - подразделение, входящее в структуру системного оператора, отвечающее за оперативное управление единой электроэнергетической системы Республики Казахстан (далее – ЕЭС Казахстана) и надежность ее работы, включая балансирование и обеспечение качества электроэнергии;</w:t>
      </w:r>
    </w:p>
    <w:p>
      <w:pPr>
        <w:pStyle w:val="Heading2"/>
      </w:pPr>
      <w:r>
        <w:t xml:space="preserve">Подпункт 6</w:t>
      </w:r>
    </w:p>
    <w:p>
      <w:r>
        <w:t xml:space="preserve">6) натурные испытания – испытания, проводимые путем создания воздействий на единую электроэнергетическую систему Республики Казахстан или на любую ее часть с целью изучения характеристик системы;</w:t>
      </w:r>
    </w:p>
    <w:p>
      <w:pPr>
        <w:pStyle w:val="Heading2"/>
      </w:pPr>
      <w:r>
        <w:t xml:space="preserve">Подпункт 7</w:t>
      </w:r>
    </w:p>
    <w:p>
      <w:r>
        <w:t xml:space="preserve">7) схема "заход-выход" – схема присоединения подстанции и электростанции к электрической сети посредством подключения в рассечку существующей линии электропередачи с сохранением транзита электроэнергии по существующей линии электропередачи через вновь построенные участки линии электропередачи и шины присоединяемой подстанции и электростанции;</w:t>
      </w:r>
    </w:p>
    <w:p>
      <w:pPr>
        <w:pStyle w:val="Heading2"/>
      </w:pPr>
      <w:r>
        <w:t xml:space="preserve">Подпункт 8</w:t>
      </w:r>
    </w:p>
    <w:p>
      <w:r>
        <w:t xml:space="preserve">8) послеаварийный режим работы ЕЭС Казахстана – установившийся режим, возникающий после аварийного отключения поврежденного элемента электроэнергетической системы и продолжающийся до восстановления нормального режима работы;</w:t>
      </w:r>
    </w:p>
    <w:p>
      <w:pPr>
        <w:pStyle w:val="Heading2"/>
      </w:pPr>
      <w:r>
        <w:t xml:space="preserve">Подпункт 9</w:t>
      </w:r>
    </w:p>
    <w:p>
      <w:r>
        <w:t xml:space="preserve">9) нормальный режим работы единой электроэнергетической системы Республики Казахстан – установившийся режим работы, при котором работают все элементы электроэнергетической системы, предусмотренные при планировании режима, и обеспечивается электроснабжение всех потребителей электрической энергии в соответствии с условиями заключенных договоров;</w:t>
      </w:r>
    </w:p>
    <w:p>
      <w:pPr>
        <w:pStyle w:val="Heading2"/>
      </w:pPr>
      <w:r>
        <w:t xml:space="preserve">Подпункт 10</w:t>
      </w:r>
    </w:p>
    <w:p>
      <w:r>
        <w:t xml:space="preserve">10) пул резервов электрической мощности ЕЭС Казахстана (далее – ПУЛ РЭМ) - резерв электрической мощности для обеспечения бесперебойного энергоснабжения потребителей в случае непредвиденного выхода из строя генераторов, линий электропередачи или роста потребления;</w:t>
      </w:r>
    </w:p>
    <w:p>
      <w:pPr>
        <w:pStyle w:val="Heading2"/>
      </w:pPr>
      <w:r>
        <w:t xml:space="preserve">Подпункт 11</w:t>
      </w:r>
    </w:p>
    <w:p>
      <w:r>
        <w:t xml:space="preserve">11) субпотребитель – потребитель, непосредственно подключенный к электрическим сетям потребителя;</w:t>
      </w:r>
    </w:p>
    <w:p>
      <w:pPr>
        <w:pStyle w:val="Heading2"/>
      </w:pPr>
      <w:r>
        <w:t xml:space="preserve">Подпункт 12</w:t>
      </w:r>
    </w:p>
    <w:p>
      <w:r>
        <w:t xml:space="preserve">12) дублирующие (шунтирующие) линии электропередачи - линии электропередачи, построенные и (или) планируемые к строительству субъектами рынка электрической энергии Республики Казахстан дополнительно к существующим линиям электропередачи, по которым осуществляется передача электрической энергии с нормируемым качеством электроэнергии и уровнем надежности, и изменяющие распределение мощности в энергоузле;</w:t>
      </w:r>
    </w:p>
    <w:p>
      <w:pPr>
        <w:pStyle w:val="Heading2"/>
      </w:pPr>
      <w:r>
        <w:t xml:space="preserve">Подпункт 13</w:t>
      </w:r>
    </w:p>
    <w:p>
      <w:r>
        <w:t xml:space="preserve">13) "разворот с нуля"1 – пуск энергопроизводящей организации из консервации, резерва или после полного останова, восстановление электрической сети как единой электроэнергетической системы в кратчайшие сроки;</w:t>
      </w:r>
    </w:p>
    <w:p>
      <w:pPr>
        <w:pStyle w:val="Heading2"/>
      </w:pPr>
      <w:r>
        <w:t xml:space="preserve">Подпункт 14</w:t>
      </w:r>
    </w:p>
    <w:p>
      <w:r>
        <w:t xml:space="preserve">14) региональная электрическая сеть – совокупность линий электропередачи и подстанций, принадлежащих и (или) эксплуатируемых региональной электросетевой компании;</w:t>
      </w:r>
    </w:p>
    <w:p>
      <w:pPr>
        <w:pStyle w:val="Heading2"/>
      </w:pPr>
      <w:r>
        <w:t xml:space="preserve">Подпункт 15</w:t>
      </w:r>
    </w:p>
    <w:p>
      <w:r>
        <w:t xml:space="preserve">15) реактивная энергия – энергия, затрачиваемая на создание электромагнитного поля в цепях переменного тока;</w:t>
      </w:r>
    </w:p>
    <w:p>
      <w:pPr>
        <w:pStyle w:val="Heading2"/>
      </w:pPr>
      <w:r>
        <w:t xml:space="preserve">Подпункт 16</w:t>
      </w:r>
    </w:p>
    <w:p>
      <w:r>
        <w:t xml:space="preserve">16) холодный резерв – суммарная располагаемая мощность незадействованных генерирующих установок, обеспеченных топливом и готовая к работе;</w:t>
      </w:r>
    </w:p>
    <w:p>
      <w:pPr>
        <w:pStyle w:val="Heading2"/>
      </w:pPr>
      <w:r>
        <w:t xml:space="preserve">Подпункт 17</w:t>
      </w:r>
    </w:p>
    <w:p>
      <w:r>
        <w:t xml:space="preserve">17) граница эксплуатационной ответственности сторон – точка раздела энергетического оборудования и (или) электрической сети между хозяйствующими субъектами, ответственными за содержание, обслуживание и техническое состояние, определяемая по балансовой принадлежности или договором, и подтвержденная соответствующим актом разграничения балансовой принадлежности и эксплуатационной ответственности сторон между этими хозяйствующими субъектами;</w:t>
      </w:r>
    </w:p>
    <w:p>
      <w:pPr>
        <w:pStyle w:val="Heading2"/>
      </w:pPr>
      <w:r>
        <w:t xml:space="preserve">Подпункт 18</w:t>
      </w:r>
    </w:p>
    <w:p>
      <w:r>
        <w:t xml:space="preserve">18) технические условия – технические требования, необходимые для подключения к электрическим сетям;</w:t>
      </w:r>
    </w:p>
    <w:p>
      <w:pPr>
        <w:pStyle w:val="Heading2"/>
      </w:pPr>
      <w:r>
        <w:t xml:space="preserve">Подпункт 19</w:t>
      </w:r>
    </w:p>
    <w:p>
      <w:r>
        <w:t xml:space="preserve">19) останов - плановый или внеплановый вывод из работы генерирующих установок;</w:t>
      </w:r>
    </w:p>
    <w:p>
      <w:pPr>
        <w:pStyle w:val="Heading2"/>
      </w:pPr>
      <w:r>
        <w:t xml:space="preserve">Подпункт 20</w:t>
      </w:r>
    </w:p>
    <w:p>
      <w:r>
        <w:t xml:space="preserve">20) низкое напряжение - напряжение ниже 1000 В;</w:t>
      </w:r>
    </w:p>
    <w:p>
      <w:pPr>
        <w:pStyle w:val="Heading2"/>
      </w:pPr>
      <w:r>
        <w:t xml:space="preserve">Подпункт 21</w:t>
      </w:r>
    </w:p>
    <w:p>
      <w:r>
        <w:t xml:space="preserve">21) потребитель с прямым подключением – потребитель, подключенный к энергопроизводящей организаций без участия энергопередающей организаций;</w:t>
      </w:r>
    </w:p>
    <w:p>
      <w:pPr>
        <w:pStyle w:val="Heading2"/>
      </w:pPr>
      <w:r>
        <w:t xml:space="preserve">Подпункт 22</w:t>
      </w:r>
    </w:p>
    <w:p>
      <w:r>
        <w:t xml:space="preserve">22) граница балансовой принадлежности электрической сети – точка раздела электрической сети между хозяйствующими субъектами рынка электрической энергии: энергопроизводящими (энергопередающими) организациями и потребителями, а также между потребителями и субпотребителями, определяемая по балансовой принадлежности электрической сети;</w:t>
      </w:r>
    </w:p>
    <w:p>
      <w:pPr>
        <w:pStyle w:val="Heading2"/>
      </w:pPr>
      <w:r>
        <w:t xml:space="preserve">Подпункт 23</w:t>
      </w:r>
    </w:p>
    <w:p>
      <w:r>
        <w:t xml:space="preserve">23) электроустановка – 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трансформации, передачи, потребления электрической энергии и (или) преобразования ее в другой вид энергии;</w:t>
      </w:r>
    </w:p>
    <w:p>
      <w:pPr>
        <w:pStyle w:val="Heading2"/>
      </w:pPr>
      <w:r>
        <w:t xml:space="preserve">Подпункт 24</w:t>
      </w:r>
    </w:p>
    <w:p>
      <w:r>
        <w:t xml:space="preserve">24) электрическая станция – энергетический объект, предназначенный для производства электрической и тепловой энергии, содержащий строительную часть, оборудование для преобразования энергии и необходимое вспомогательное оборудование;</w:t>
      </w:r>
    </w:p>
    <w:p>
      <w:pPr>
        <w:pStyle w:val="Heading2"/>
      </w:pPr>
      <w:r>
        <w:t xml:space="preserve">Подпункт 25</w:t>
      </w:r>
    </w:p>
    <w:p>
      <w:r>
        <w:t xml:space="preserve">25) система накопления электрической энергии – техническое устройство с автоматизированной системой управления, предназначенное для накопления, хранения и выдачи электрической энергии, и взаимосвязанные с ним сооружения и инфраструктура, технологически необходимые для его эксплуатации в соответствии с законодательством Республики Казахстан в области поддержки использования возобновляемых источников энергии;</w:t>
      </w:r>
    </w:p>
    <w:p>
      <w:pPr>
        <w:pStyle w:val="Heading2"/>
      </w:pPr>
      <w:r>
        <w:t xml:space="preserve">Подпункт 26</w:t>
      </w:r>
    </w:p>
    <w:p>
      <w:r>
        <w:t xml:space="preserve">26) сальдо-переток электрической энергии - алгебраическая сумма значений приема (отпуска) электрической энергии по определенной группе линий электропередачи, трансформаторов (сечению) либо по точкам коммерческого учета.</w:t>
      </w:r>
    </w:p>
    <w:p>
      <w:r>
        <w:t xml:space="preserve">Иные понятия, используемые в настоящих Правилах, применяются в соответствии с законодательством Республики Казахстан.";</w:t>
      </w:r>
    </w:p>
    <w:p>
      <w:r>
        <w:t xml:space="preserve">пункт 42 изложить в новой редакции:</w:t>
      </w:r>
    </w:p>
    <w:p>
      <w:r>
        <w:t xml:space="preserve">"42. Диспетчеризацию процессов производства, потребления, передачи, хранения электрической энергии в ЕЭС Казахстана осуществляет системный оператор.";</w:t>
      </w:r>
    </w:p>
    <w:p>
      <w:r>
        <w:t xml:space="preserve">пункт 73 изложить в новой редакции:</w:t>
      </w:r>
    </w:p>
    <w:p>
      <w:r>
        <w:t xml:space="preserve">"73. При аварийном снижении генерирующей мощности в ЕЭС Казахстана оперативный персонал энергопроизводящей организации, включая электростанции с генерирующими установками, подключенными к сети напряжением 10 кВ и 35 кВ, потребители с прямым подключением к сети напряжением 35 кВ и выше, системы накопления электрической энергии с прямым подключением к сети напряжением 6 кВ и выше действуют под координацией системного оператора:</w:t>
      </w:r>
    </w:p>
    <w:p>
      <w:pPr>
        <w:pStyle w:val="Heading2"/>
      </w:pPr>
      <w:r>
        <w:t xml:space="preserve">Подпункт 1</w:t>
      </w:r>
    </w:p>
    <w:p>
      <w:r>
        <w:t xml:space="preserve">1) восстанавливает частоту или заданный межгосударственный сальдо-переток за счет мобилизации вращающегося резерва на тепловых и гидроэлектростанциях, в том числе и через ПУЛ РЭМ;</w:t>
      </w:r>
    </w:p>
    <w:p>
      <w:pPr>
        <w:pStyle w:val="Heading2"/>
      </w:pPr>
      <w:r>
        <w:t xml:space="preserve">Подпункт 2</w:t>
      </w:r>
    </w:p>
    <w:p>
      <w:r>
        <w:t xml:space="preserve">2) разворачивает холодный резерв на электростанции, аварийно снизившей генерацию, или электростанциях, имеющих договор на взаимное резервирование, в том числе через ПУЛ РЭМ;</w:t>
      </w:r>
    </w:p>
    <w:p>
      <w:pPr>
        <w:pStyle w:val="Heading2"/>
      </w:pPr>
      <w:r>
        <w:t xml:space="preserve">Подпункт 3</w:t>
      </w:r>
    </w:p>
    <w:p>
      <w:r>
        <w:t xml:space="preserve">3) при исчерпании резервов мощности вводит ограничения для нагрузки пользователей сети от производителя, аварийно снизившего генерацию;</w:t>
      </w:r>
    </w:p>
    <w:p>
      <w:pPr>
        <w:pStyle w:val="Heading2"/>
      </w:pPr>
      <w:r>
        <w:t xml:space="preserve">Подпункт 4</w:t>
      </w:r>
    </w:p>
    <w:p>
      <w:r>
        <w:t xml:space="preserve">4) восстанавливает электроснабжение ограниченных пользователей сети в соответствии с разворотом резерва;</w:t>
      </w:r>
    </w:p>
    <w:p>
      <w:pPr>
        <w:pStyle w:val="Heading2"/>
      </w:pPr>
      <w:r>
        <w:t xml:space="preserve">Подпункт 5</w:t>
      </w:r>
    </w:p>
    <w:p>
      <w:r>
        <w:t xml:space="preserve">5) восстанавливает частоту за счет имеющегося в резерве мощности и емкости систем накопления электрической энергии.";</w:t>
      </w:r>
    </w:p>
    <w:p>
      <w:r>
        <w:t xml:space="preserve">дополнить пунктом 75-1 следующего содержания:</w:t>
      </w:r>
    </w:p>
    <w:p>
      <w:r>
        <w:t xml:space="preserve">"75-1. Первичное регулирование частоты осуществляется всеми системами накопления электрической энергии в зависимости от характеристик, заданных инструкциями заводов-изготовителей и в соответствии с нормативами, утвержденными системным оператором, с целью сохранения энергоснабжения потребителей и функционирования электростанций при аварийных отклонениях частоты.";</w:t>
      </w:r>
    </w:p>
    <w:p>
      <w:r>
        <w:t xml:space="preserve">пункты 76 , 77 , 78 и 79 изложить в новой редакции:</w:t>
      </w:r>
    </w:p>
    <w:p>
      <w:r>
        <w:t xml:space="preserve">"76. Нормированное первичное регулирование осуществляется выделенными электростанциями (энергоблоками) и (или) системами накопления электрической энергии нормированного первичного регулирования, на которых запланированы и постоянно поддерживаются резервы первичного регулирования, обеспечено их эффективное использование в соответствии с заданными характеристиками (параметрами) первичного регулирования.</w:t>
      </w:r>
    </w:p>
    <w:p>
      <w:pPr>
        <w:pStyle w:val="Heading2"/>
      </w:pPr>
      <w:r>
        <w:t xml:space="preserve">Пункт 77</w:t>
      </w:r>
    </w:p>
    <w:p>
      <w:r>
        <w:t xml:space="preserve">77. Для целей нормированного первичного регулирования привлекаются электростанции и (или) системы накопления электрической энергии, удовлетворяющие требования системного оператора. Все электростанции и (или) системы накопления электрической энергии, не выделенные для нормированного первичного регулирования, участвуют в общем первичном регулировании. Системный оператор дает временное разрешение на неучастие генерирующих установок и (или) систем накопления электрической энергии в регулировании частоты при технических неисправностей или неустойчивой работы оборудования электроустановок.</w:t>
      </w:r>
    </w:p>
    <w:p>
      <w:pPr>
        <w:pStyle w:val="Heading2"/>
      </w:pPr>
      <w:r>
        <w:t xml:space="preserve">Пункт 78</w:t>
      </w:r>
    </w:p>
    <w:p>
      <w:r>
        <w:t xml:space="preserve">78. Вторичное регулирование осуществляется путем изменения активной мощности, автоматически или оперативно, специально выделенных для этой цели электростанций и (или) систем накопления электрической энергии для компенсации возникшего небаланса мощности, ликвидации перегрузки транзитных связей, для восстановления частоты и заданных внешних перетоков, и, как следствие, восстановления резервов первичной регулирующей мощности, потраченных при действии первичного регулирования.</w:t>
      </w:r>
    </w:p>
    <w:p>
      <w:pPr>
        <w:pStyle w:val="Heading2"/>
      </w:pPr>
      <w:r>
        <w:t xml:space="preserve">Пункт 79</w:t>
      </w:r>
    </w:p>
    <w:p>
      <w:r>
        <w:t xml:space="preserve">79. Третичное регулирование осуществляется путем изменения мощности электростанции и (или) систем накопления электрической энергии для восстановления вторичного резерва при его исчерпании.";</w:t>
      </w:r>
    </w:p>
    <w:p>
      <w:r>
        <w:t xml:space="preserve">дополнить пунктами 83-1 и 83-2 следующего содержания:</w:t>
      </w:r>
    </w:p>
    <w:p>
      <w:r>
        <w:t xml:space="preserve">"83-1. Изменение активной мощности системой накопления энергии по диспетчерской команде или по команде дистанционного управления составляет не менее 10 %/мин от номинальной мощности системы накопления электрической энергии.</w:t>
      </w:r>
    </w:p>
    <w:p>
      <w:r>
        <w:t xml:space="preserve">Для электрохимических систем накопления электроэнергии изменение активной мощности по диспетчерской команде или по команде дистанционного управления составляет не менее 100 %/мин от номинальной мощности.</w:t>
      </w:r>
    </w:p>
    <w:p>
      <w:pPr>
        <w:pStyle w:val="Heading2"/>
      </w:pPr>
      <w:r>
        <w:t xml:space="preserve">Пункт 83-2</w:t>
      </w:r>
    </w:p>
    <w:p>
      <w:r>
        <w:t xml:space="preserve">83-2. Изменение активной мощности электрохимических систем накопления электроэнергии в процессе первичного регулирования происходит со скоростью не менее 10 %/сек от номинальной мощности.";</w:t>
      </w:r>
    </w:p>
    <w:p>
      <w:r>
        <w:t xml:space="preserve">пункт 119 изложить в новой редакции:</w:t>
      </w:r>
    </w:p>
    <w:p>
      <w:r>
        <w:t xml:space="preserve">"119. Надлежащее техническое состояние и работоспособность автоматической разгрузки электростанций обеспечивает владелец электростанции. Системный оператор осуществляет контроль объема нагрузки, подключенной к автоматической разгрузке электростанций в ЕЭС Казахстана. Владелец электростанции обеспечивает передачу телеметрической информации, необходимой для контроля Системным оператором объема нагрузки, подключенной к АОГ.";</w:t>
      </w:r>
    </w:p>
    <w:p>
      <w:r>
        <w:t xml:space="preserve">пункт 123 изложить в новой редакции:</w:t>
      </w:r>
    </w:p>
    <w:p>
      <w:r>
        <w:t xml:space="preserve">"123. Надлежащее техническое состояние и работоспособность специальной автоматики отключения нагрузки обеспечивает пользователь сети. Пользователь сети обеспечивает передачу телеметрической информации, необходимой для контроля Системным оператором объема нагрузки, подключенной к САОН.";</w:t>
      </w:r>
    </w:p>
    <w:p>
      <w:r>
        <w:t xml:space="preserve">пункт 129 изложить в новой редакции:</w:t>
      </w:r>
    </w:p>
    <w:p>
      <w:r>
        <w:t xml:space="preserve">"129. Подсистема автоматического предотвращения нарушения устойчивости предназначена для предотвращения нарушения динамической устойчивости при аварийных возмущениях и обеспечения в послеаварийных условиях нормативного запаса статической устойчивости для заданных сечений охватываемого района.</w:t>
      </w:r>
    </w:p>
    <w:p>
      <w:r>
        <w:t xml:space="preserve">В ЕЭС Казахстана подсистема автоматического предотвращения нарушения устойчивости образована совокупностью устройств противоаварийной автоматики, обеспечивающих сохранение устойчивости параллельной работы со смежными энергообъединениями, отдельных энергорайонов ЕЭС Казахстана между собой или с одним из смежных энергообъединений путем решения задач противоаварийного управления при нормативных аварийных возмущениях в основной сети 1150-500-220 кВ.</w:t>
      </w:r>
    </w:p>
    <w:p>
      <w:r>
        <w:t xml:space="preserve">В качестве управляющих воздействий автоматического предотвращения нарушения устойчивости в ЕЭС Казахстана применяются: отключение генераторов, отключение нагрузки, деление системы, ввод резервных гидрогенераторов, отключение шунтирующих реакторов, отключение систем накопления электрической энергии, накопление и выдача электрической энергии системами накопления электрической энергии.";</w:t>
      </w:r>
    </w:p>
    <w:p>
      <w:r>
        <w:t xml:space="preserve">пункт 146 изложить в новой редакции:</w:t>
      </w:r>
    </w:p>
    <w:p>
      <w:r>
        <w:t xml:space="preserve">"146. Одним из основных условий надежного функционирования ЕЭС Казахстана является наличие на электроустановках пользователей сети средств релейной защиты, режимной и противоаварийной автоматики в согласованных с системным оператором объемах, функционирующих в соответствии с требованиями настоящих Правил и Правил технической эксплуатации электрических станций и сетей, утверждаемых в соответствии с подпунктом 267) пункта 15 Положения.";</w:t>
      </w:r>
    </w:p>
    <w:p>
      <w:r>
        <w:t xml:space="preserve">в приложении 3 :</w:t>
      </w:r>
    </w:p>
    <w:p>
      <w:r>
        <w:t xml:space="preserve">дополнить подпунктами 2-1) и 2-2) следующего содержания:</w:t>
      </w:r>
    </w:p>
    <w:p>
      <w:r>
        <w:t xml:space="preserve">"2-1) объемы ежегодной располагаемой мощности и емкости систем накопления электрической энергии, с учетом компенсации деградации электрохимических систем накопления электрической энергии;</w:t>
      </w:r>
    </w:p>
    <w:p>
      <w:pPr>
        <w:pStyle w:val="Heading2"/>
      </w:pPr>
      <w:r>
        <w:t xml:space="preserve">Подпункт 2-2</w:t>
      </w:r>
    </w:p>
    <w:p>
      <w:r>
        <w:t xml:space="preserve">2-2) ежегодный коэффициент готовности систем накопления электрической энергии.";</w:t>
      </w:r>
    </w:p>
    <w:p>
      <w:r>
        <w:t xml:space="preserve">дополнить подпунктом 15) следующего содержания:</w:t>
      </w:r>
    </w:p>
    <w:p>
      <w:r>
        <w:t xml:space="preserve">"15) технические характеристики систем накопления электрической энергии, заданных инструкциями заводов-изготовителей, в том числе время отклика, количество циклов накопления (заряда) выдачи (разряда) электрической энергии в сутки, месяц, год.".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30 марта 2015 года № 247 "Об утверждении Правил технической эксплуатации электрических станций и сетей" (зарегистрирован в Реестре государственной регистрации нормативных правовых актов за № 11066) следующие изменения и дополнения: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267)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технической эксплуатации электрических станций и сетей,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технической эксплуатации электрических станций и сетей (далее – Правила) разработаны в соответствии с подпунктом 267)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(далее – Положение), и определяют порядок технической эксплуатации электрических станций и сетей.";</w:t>
      </w:r>
    </w:p>
    <w:p>
      <w:r>
        <w:t xml:space="preserve">в пункте 3 :</w:t>
      </w:r>
    </w:p>
    <w:p>
      <w:r>
        <w:t xml:space="preserve">подпункт 1) изложить в новой редакции:</w:t>
      </w:r>
    </w:p>
    <w:p>
      <w:r>
        <w:t xml:space="preserve">"1) текущий ремонт – ремонт, выполняемый для устранения обнаруженных дефектов, препятствующих нормальной эксплуатации оборудования (установки), устранение которых требует остановки работающего оборудовании;";</w:t>
      </w:r>
    </w:p>
    <w:p>
      <w:r>
        <w:t xml:space="preserve">дополнить подпунктами 9), 10), 11) и 12) следующего содержания:</w:t>
      </w:r>
    </w:p>
    <w:p>
      <w:r>
        <w:t xml:space="preserve">"9) система накопления электрической энергии – техническое устройство с автоматизированной системой управления, предназначенное для накопления, хранения и выдачи электрической энергии, и взаимосвязанные с ним сооружения и инфраструктура, технологически необходимые для его эксплуатации в соответствии с законодательством Республики Казахстан в области поддержки использования возобновляемых источников энергии;</w:t>
      </w:r>
    </w:p>
    <w:p>
      <w:pPr>
        <w:pStyle w:val="Heading2"/>
      </w:pPr>
      <w:r>
        <w:t xml:space="preserve">Подпункт 10</w:t>
      </w:r>
    </w:p>
    <w:p>
      <w:r>
        <w:t xml:space="preserve">10) номинальная активная мощность системы накопления я электрической энергии – мощность в киловаттах, определяемая паспортными данными изготовителя (производителя) оборудования;</w:t>
      </w:r>
    </w:p>
    <w:p>
      <w:pPr>
        <w:pStyle w:val="Heading2"/>
      </w:pPr>
      <w:r>
        <w:t xml:space="preserve">Подпункт 11</w:t>
      </w:r>
    </w:p>
    <w:p>
      <w:r>
        <w:t xml:space="preserve">11) емкость системы накопления электрической энергии – объем электрической энергии в киловатт-час, определяемый паспортными данными изготовителя (производителя) оборудования;</w:t>
      </w:r>
    </w:p>
    <w:p>
      <w:pPr>
        <w:pStyle w:val="Heading2"/>
      </w:pPr>
      <w:r>
        <w:t xml:space="preserve">Подпункт 12</w:t>
      </w:r>
    </w:p>
    <w:p>
      <w:r>
        <w:t xml:space="preserve">12) полный цикл заряда (разряда) системы накопления я электрической энергии – процесс накопления электрической энергии до номинального состояния заряда и выдачи электрической энергии до номинальной глубины разряда, определяемый паспортными данными изготовителя (производителя) оборудования.";</w:t>
      </w:r>
    </w:p>
    <w:p>
      <w:r>
        <w:t xml:space="preserve">пункт 4 изложить в новой редакции:</w:t>
      </w:r>
    </w:p>
    <w:p>
      <w:r>
        <w:t xml:space="preserve">"4. Основными задачами электростанций, котельных, систем накопления электрической энергии, электрических и тепловых сетей, являются производство, передача, накопление, хранение и отпуск электрической энергии и тепла потребителям (далее – энергопроизводство).";</w:t>
      </w:r>
    </w:p>
    <w:p>
      <w:r>
        <w:t xml:space="preserve">пункт 9 исключить;</w:t>
      </w:r>
    </w:p>
    <w:p>
      <w:r>
        <w:t xml:space="preserve">пункт 12 изложить в новой редакции:</w:t>
      </w:r>
    </w:p>
    <w:p>
      <w:r>
        <w:t xml:space="preserve">"12. Индивидуальные и функциональные испытания оборудования и отдельных систем проводятся генподрядчиком с привлечением персонала заказчика по проектным схемам после окончания всех строительных и монтажных работ по данному узлу. Перед индивидуальным и функциональным испытаниями проверяется выполнение требований: настоящих Правил, строительных норм и правил (далее – СНиП), государственных стандартов (далее – ГОСТ), включая систему стандартов безопасности труда (далее – ССБТ), норм технологического проектирования, законодательства в сфере электроэнергетики, энергосбережения и энергоэффективности, Правил техники безопасности при эксплуатации электроустановок, утверждаемыми в соответствии с подпунктом 268) пункта 15 Положения, Правил пожарной безопасности для энергетических предприятий, утверждаемыми в соответствии с подпунктом 284) пункта 15 Положения, указаний и инструкций заводов-изготовителей по монтажу оборудования.";</w:t>
      </w:r>
    </w:p>
    <w:p>
      <w:r>
        <w:t xml:space="preserve">пункт 15 изложить в новой редакции:</w:t>
      </w:r>
    </w:p>
    <w:p>
      <w:r>
        <w:t xml:space="preserve">"15. Комплексное опробования проводит заказчик.</w:t>
      </w:r>
    </w:p>
    <w:p>
      <w:r>
        <w:t xml:space="preserve">Началом комплексного опробования энергоустановки считается момент включения ее в сеть или под нагрузку.</w:t>
      </w:r>
    </w:p>
    <w:p>
      <w:r>
        <w:t xml:space="preserve">Комплексное опробование оборудования по схемам, не предусмотренным проектом, не проводится.</w:t>
      </w:r>
    </w:p>
    <w:p>
      <w:r>
        <w:t xml:space="preserve">Оборудование электростанций, прошедшее капитальный ремонт, подлежит приемо-сдаточным испытаниям под нагрузкой в течение 72 часов. Для гидроэлектростанций (далее – ГЭС), работающих в пиковом режиме при ограниченных водных ресурсах, испытания под нагрузкой продолжается несколько дней с суммарной наработкой 24 часов.</w:t>
      </w:r>
    </w:p>
    <w:p>
      <w:r>
        <w:t xml:space="preserve">Комплексное опробование оборудования считается проведенным при условии нормальной и непрерывной работы основного оборудования в течение 72 часов на основном топливе с номинальной нагрузкой и проектными параметрами пара (для газотурбинных установок (далее – ГТУ) – газа):</w:t>
      </w:r>
    </w:p>
    <w:p>
      <w:pPr>
        <w:pStyle w:val="Heading2"/>
      </w:pPr>
      <w:r>
        <w:t xml:space="preserve">Подпункт 1</w:t>
      </w:r>
    </w:p>
    <w:p>
      <w:r>
        <w:t xml:space="preserve">1) для электростанций и котельных на основном топливе с номинальной нагрузкой и проектными параметрами пара;</w:t>
      </w:r>
    </w:p>
    <w:p>
      <w:pPr>
        <w:pStyle w:val="Heading2"/>
      </w:pPr>
      <w:r>
        <w:t xml:space="preserve">Подпункт 2</w:t>
      </w:r>
    </w:p>
    <w:p>
      <w:r>
        <w:t xml:space="preserve">2) для тепловой электростанции, напором и расходом воды;</w:t>
      </w:r>
    </w:p>
    <w:p>
      <w:pPr>
        <w:pStyle w:val="Heading2"/>
      </w:pPr>
      <w:r>
        <w:t xml:space="preserve">Подпункт 3</w:t>
      </w:r>
    </w:p>
    <w:p>
      <w:r>
        <w:t xml:space="preserve">3) для ГЭС, предусмотренными в пусковом комплекте параметрами, и при постоянной или поочередной работе всего вспомогательного оборудования, входящего в пусковой комплекс.</w:t>
      </w:r>
    </w:p>
    <w:p>
      <w:r>
        <w:t xml:space="preserve">В электрических сетях комплексное опробование считается проведенным при условии нормальной и непрерывной работы оборудования подстанций под нагрузкой в течение 72 часов, а линий электропередачи – в течение 24 часов.</w:t>
      </w:r>
    </w:p>
    <w:p>
      <w:r>
        <w:t xml:space="preserve">В тепловых сетях комплексное опробование считается проведенным при условии нормальной и непрерывной работы оборудования под нагрузкой в течение 24 часов с номинальным давлением, предусмотренным проектной документацией.</w:t>
      </w:r>
    </w:p>
    <w:p>
      <w:r>
        <w:t xml:space="preserve">Для ГТУ также условием комплексного опробования является, кроме того, успешное проведение 10 пусков, а для гидроагрегатов ГЭС и гидроаккумулирующих электростанций (далее – ГАЭС) - 3 автоматических пусков.</w:t>
      </w:r>
    </w:p>
    <w:p>
      <w:r>
        <w:t xml:space="preserve">Для систем накопления электрической энергии дополнительным условием комплексного опробования является успешное проведение 2 полных циклов накопления (заряда) и выдачи (разряда) электрической энергии с нормированными техническими параметрами, установленными заводом-изготовителем.</w:t>
      </w:r>
    </w:p>
    <w:p>
      <w:r>
        <w:t xml:space="preserve">При комплексном опробовании включаются предусмотренные проектом контрольно-измерительные приборы, блокировки, устройства сигнализации и дистанционного управления, защиты и автоматического регулирования, не требующие режимной наладки.</w:t>
      </w:r>
    </w:p>
    <w:p>
      <w:r>
        <w:t xml:space="preserve">При отсутствии возможности проведения комплексного опробования на основном топливе или достижения номинальной нагрузки и проектных параметров пара для тепловой электростанции (для ГТУ – газ), напора и расхода воды – для ГЭС, нагрузки – на подстанции и (или) линии электропередачи при совместном или раздельном опробовании, параметров теплоносителя – для тепловых сетей по причинам, не связанным с невыполнением работ, предусмотренных пусковым комплексом, решение провести комплексное опробование на резервном топливе, а также предельные параметры и нагрузки принимаются и устанавливаются приемочной комиссией и оговариваются в акте приемки в эксплуатацию пускового комплекса.";</w:t>
      </w:r>
    </w:p>
    <w:p>
      <w:r>
        <w:t xml:space="preserve">пункты 29 и 30 изложить в новой редакции:</w:t>
      </w:r>
    </w:p>
    <w:p>
      <w:r>
        <w:t xml:space="preserve">"29. Периодичность и продолжительность всех видов ремонта устанавливаются нормативно-техническими документами, на основании которых составляется график планово-предупредительных работ или в соответствии с паспортом завода-изготовителя.</w:t>
      </w:r>
    </w:p>
    <w:p>
      <w:pPr>
        <w:pStyle w:val="Heading2"/>
      </w:pPr>
      <w:r>
        <w:t xml:space="preserve">Пункт 30</w:t>
      </w:r>
    </w:p>
    <w:p>
      <w:r>
        <w:t xml:space="preserve">30. Оборудование электростанций, подстанций 35 киловольт (далее – кВ) и выше, прошедшее капитальный и средний ремонт, а также оборудование тепловых сетей подлежит приемосдаточным испытаниям под нагрузкой в течение 72 часов.";</w:t>
      </w:r>
    </w:p>
    <w:p>
      <w:r>
        <w:t xml:space="preserve">пункт 31 дополнить подпунктом 7) следующего содержания:</w:t>
      </w:r>
    </w:p>
    <w:p>
      <w:r>
        <w:t xml:space="preserve">"7) для систем накопления электрической энергии – момент перевода в режим ожидания под автоматизированные системы управления.";</w:t>
      </w:r>
    </w:p>
    <w:p>
      <w:r>
        <w:t xml:space="preserve">дополнить пунктом 36-1 следующего содержания:</w:t>
      </w:r>
    </w:p>
    <w:p>
      <w:r>
        <w:t xml:space="preserve">"36-1. Эксплуатация электрооборудования во взрывоопасных зонах осуществляется в соответствии с требованиями главы 23 Правил технической эксплуатации электроустановок потребителей, утвержденных приказом Министра энергетики Республики Казахстан от 30 марта 2015 года № 246 (зарегистрирован в Реестре государственной регистрации нормативных правовых актов за № 10949).";</w:t>
      </w:r>
    </w:p>
    <w:p>
      <w:r>
        <w:t xml:space="preserve">пункт 43 изложить в новой редакции:</w:t>
      </w:r>
    </w:p>
    <w:p>
      <w:r>
        <w:t xml:space="preserve">"43. Все технологические системы, основное оборудование, здания и сооружения, в том числе гидросооружения, входящие в состав энергообъекта, подвергаются периодическому техническому освидетельствованию.</w:t>
      </w:r>
    </w:p>
    <w:p>
      <w:r>
        <w:t xml:space="preserve">Освидетельствование осуществляется в сроки, установленные действующими инструкциями, нормативно-техническими документами и Правилами, но не реже 1 раз в 5 лет.</w:t>
      </w:r>
    </w:p>
    <w:p>
      <w:r>
        <w:t xml:space="preserve">Результаты технического обследования должны быть занесены в технический паспорт объекта.</w:t>
      </w:r>
    </w:p>
    <w:p>
      <w:r>
        <w:t xml:space="preserve">Техническое освидетельствование производится комиссией энергообъекта, возглавляемой техническим руководителем энергообъекта или его заместителем. В комиссию включаются руководители и специалисты структурных подразделений энергообъекта, специалисты специализированных и экспертных организаций.</w:t>
      </w:r>
    </w:p>
    <w:p>
      <w:r>
        <w:t xml:space="preserve">Оборудование, отработавшее нормативный срок, установленный изготовителем, должно обследуется специализированной организацией.</w:t>
      </w:r>
    </w:p>
    <w:p>
      <w:r>
        <w:t xml:space="preserve">Дальнейшая эксплуатация оборудования, отработавшего нормативный срок, установленный изготовителем, допускается после проведения экспертного обследования для определения срока их дальнейшей эксплуатации</w:t>
      </w:r>
    </w:p>
    <w:p>
      <w:r>
        <w:t xml:space="preserve">Объем и периодичность технического освидетельствования устанавливаются соответствующими нормативно-техническими документами, регламентирующими всю процедуру его проведения.</w:t>
      </w:r>
    </w:p>
    <w:p>
      <w:r>
        <w:t xml:space="preserve">Результаты технического освидетельствования заносятся в технический паспорт оборудования.</w:t>
      </w:r>
    </w:p>
    <w:p>
      <w:r>
        <w:t xml:space="preserve">Эксплуатация энергоустановок с аварийно-опасными дефектами, выявленными в процессе контроля, а также не прошедших техническое освидетельствование не допускается.";</w:t>
      </w:r>
    </w:p>
    <w:p>
      <w:r>
        <w:t xml:space="preserve">пункт 90 изложить в новой редакции:</w:t>
      </w:r>
    </w:p>
    <w:p>
      <w:r>
        <w:t xml:space="preserve">"90. Перевод средств измерений в разряд индикаторов оформляются приказом руководителя энергообъекта.";</w:t>
      </w:r>
    </w:p>
    <w:p>
      <w:r>
        <w:t xml:space="preserve">пункт 114 изложить в новой редакции:</w:t>
      </w:r>
    </w:p>
    <w:p>
      <w:r>
        <w:t xml:space="preserve">"114. Системный оператор в течение всего срока эксплуатации генерирующей установки, проводит мониторинг и оценку соответствия генерирующего модуля требованиям, предъявляемым законодательством Республики Казахстан в области электроэнергетики, в том числе путҰм съҰма информации с систем мониторинга переходных режимов (далее – СМПР) установленных на генерирующих установках из возобновляемых источников энергии (далее – ГУВИЭ).";</w:t>
      </w:r>
    </w:p>
    <w:p>
      <w:r>
        <w:t xml:space="preserve">пункт 236 изложить в новой редакции:</w:t>
      </w:r>
    </w:p>
    <w:p>
      <w:r>
        <w:t xml:space="preserve">"236. При обрастании систем технического водоснабжения (поверхностей грубых решеток, конструктивных элементов водоочистных сеток, водоприемных и всасывающих камер и напорных водоводов) моллюском, дрейссеной или другими биоорганизмами применяются необрастающие покрытия, проводятся промывки трактов горячей водой, хлорирование охлаждающей воды, поступающей на вспомогательное оборудование, с поддержанием дозы активного хлора 1,5-2,5 мг/дм3 в течение 4-5 суток 1 раз в 1,5 месяца.";</w:t>
      </w:r>
    </w:p>
    <w:p>
      <w:r>
        <w:t xml:space="preserve">пункт 290 изложить в новой редакции:</w:t>
      </w:r>
    </w:p>
    <w:p>
      <w:r>
        <w:t xml:space="preserve">"290. Резервные насосы, подогреватели и фильтры содержатся в исправном состоянии и в постоянной готовности к пуску.</w:t>
      </w:r>
    </w:p>
    <w:p>
      <w:r>
        <w:t xml:space="preserve">Проверка включения и плановый переход с работающего насоса на резервный производятся по графику, но не реже 1 раза в месяц. Проверка срабатывания автоматического включения резерва производится не реже 1 раза в квартал по программе и графику, утвержденным техническим руководителем.";</w:t>
      </w:r>
    </w:p>
    <w:p>
      <w:r>
        <w:t xml:space="preserve">пункт 292 изложить в новой редакции:</w:t>
      </w:r>
    </w:p>
    <w:p>
      <w:r>
        <w:t xml:space="preserve">"292. Перед включением резервуара с мазутом в работу после длительного хранения в нем топлива из придонного слоя (до 0,5 м) производится отбор пробы мазута для анализа на влажность и принимаются меры, предотвращающие попадание отстоявшейся воды и мазута большой обводненности в котельную.";</w:t>
      </w:r>
    </w:p>
    <w:p>
      <w:r>
        <w:t xml:space="preserve">пункт 342 изложить в новой редакции:</w:t>
      </w:r>
    </w:p>
    <w:p>
      <w:r>
        <w:t xml:space="preserve">"342. Заполнение неостывшего барабанного котла производится при температуре металла верха опорожненного барабана не выше 160 0 С (градусов Цельсия).</w:t>
      </w:r>
    </w:p>
    <w:p>
      <w:r>
        <w:t xml:space="preserve">Если температура металла в любой точке барабана превышает 1400С (градусов Цельсия), заполнение его водой для гидроопрессовки запрещается.";</w:t>
      </w:r>
    </w:p>
    <w:p>
      <w:r>
        <w:t xml:space="preserve">пункт 354 изложить в новой редакции:</w:t>
      </w:r>
    </w:p>
    <w:p>
      <w:r>
        <w:t xml:space="preserve">"354. Включение котла в общий паропровод производится после дренирования и прогрева соединительного паропровода. Давление пара за котлом при включении равно давлению пара в общем паропроводе.";</w:t>
      </w:r>
    </w:p>
    <w:p>
      <w:r>
        <w:t xml:space="preserve">пункт 366 изложить в новой редакции:</w:t>
      </w:r>
    </w:p>
    <w:p>
      <w:r>
        <w:t xml:space="preserve">"366. Обмуровка котлов содержится в исправном состоянии. При температуре окружающего воздуха 25 0 С (градусов Цельсия) температура на поверхности обмуровки обеспечивается на уровне не более 45 0 С (градусов Цельсия).";</w:t>
      </w:r>
    </w:p>
    <w:p>
      <w:r>
        <w:t xml:space="preserve">пункт 372 изложить в новой редакции:</w:t>
      </w:r>
    </w:p>
    <w:p>
      <w:r>
        <w:t xml:space="preserve">"372. Подпитывать остановленный котел с дренированием воды в целях ускорения охлаждения барабана не допускается.";</w:t>
      </w:r>
    </w:p>
    <w:p>
      <w:r>
        <w:t xml:space="preserve">часть первую пункта 442 изложить в новой редакции:</w:t>
      </w:r>
    </w:p>
    <w:p>
      <w:r>
        <w:t xml:space="preserve">"442. Обеспечивается абсолютная плотность стопорных и регулирующих топливных клапанов ГТУ. При этом клапаны должны расхаживаться на полный ход перед каждым пуском, а также ежедневно на часть хода при непрерывной работе, если это предусмотрено заводской инструкцией.";</w:t>
      </w:r>
    </w:p>
    <w:p>
      <w:r>
        <w:t xml:space="preserve">часть первую пункта 473 изложить в новой редакции:</w:t>
      </w:r>
    </w:p>
    <w:p>
      <w:r>
        <w:t xml:space="preserve">"473. Прокладки силовых и измерительных кабельных линий к средствам управления выполняются согласно Правил устройства электроустановок, утверждаемым в соответствии с подпунктом 270) пункта 15 Положения.";</w:t>
      </w:r>
    </w:p>
    <w:p>
      <w:r>
        <w:t xml:space="preserve">пункт 558 изложить в новой редакции:</w:t>
      </w:r>
    </w:p>
    <w:p>
      <w:r>
        <w:t xml:space="preserve">"558. Эксплуатация систем гидро- и пневмозолоудаления организуется в режимах, обеспечивающих:</w:t>
      </w:r>
    </w:p>
    <w:p>
      <w:pPr>
        <w:pStyle w:val="Heading2"/>
      </w:pPr>
      <w:r>
        <w:t xml:space="preserve">Подпункт 1</w:t>
      </w:r>
    </w:p>
    <w:p>
      <w:r>
        <w:t xml:space="preserve">1) оптимальные расходы воды, воздуха и электроэнергии;</w:t>
      </w:r>
    </w:p>
    <w:p>
      <w:pPr>
        <w:pStyle w:val="Heading2"/>
      </w:pPr>
      <w:r>
        <w:t xml:space="preserve">Подпункт 2</w:t>
      </w:r>
    </w:p>
    <w:p>
      <w:r>
        <w:t xml:space="preserve">2) минимальный износ золошлакопроводов;</w:t>
      </w:r>
    </w:p>
    <w:p>
      <w:pPr>
        <w:pStyle w:val="Heading2"/>
      </w:pPr>
      <w:r>
        <w:t xml:space="preserve">Подпункт 3</w:t>
      </w:r>
    </w:p>
    <w:p>
      <w:r>
        <w:t xml:space="preserve">3) незамороженное состояние внешних пульпопроводов и водоводов, отсутствие илы в золосмывных аппаратах, каналах и пульпоприемных бункерах, отсутствие образования отложений золы в бункерах, течках и золопроводах пневмозолоудаления.</w:t>
      </w:r>
    </w:p>
    <w:p>
      <w:r>
        <w:t xml:space="preserve">Для ликвидации пресыщения воды труднорастворимыми соединениями и осаждения взвешенных твердых частиц (осветления) предусматриваются необходимые площадь и глубина отстойного бассейна.";</w:t>
      </w:r>
    </w:p>
    <w:p>
      <w:r>
        <w:t xml:space="preserve">пункт 636 изложить в новой редакции:</w:t>
      </w:r>
    </w:p>
    <w:p>
      <w:r>
        <w:t xml:space="preserve">"636. Контроль металла осуществляет лаборатория или служба металлов совместно с персоналом цехов, в ведении которых находится соответствующее оборудование. Распределение обязанностей по подготовке и проведению контроля утверждается техническим руководителем электростанции. Для выполнения работ привлекаются специализированные организаций.";</w:t>
      </w:r>
    </w:p>
    <w:p>
      <w:r>
        <w:t xml:space="preserve">часть первую пункта 648 изложить в новой редакции:</w:t>
      </w:r>
    </w:p>
    <w:p>
      <w:r>
        <w:t xml:space="preserve">"648. Автоматические регуляторы возбуждения (далее – АРВ) постоянно используются включенными в работе. Отключение АРВ или отдельных их элементов (ограничение минимального возбуждения) производится при проведении ремонта или проверки.";</w:t>
      </w:r>
    </w:p>
    <w:p>
      <w:r>
        <w:t xml:space="preserve">пункт 688 изложить в новой редакции:</w:t>
      </w:r>
    </w:p>
    <w:p>
      <w:r>
        <w:t xml:space="preserve">"688. Капитальные и текущие ремонты генераторов совмещаются с капитальными и текущими ремонтами турбин.</w:t>
      </w:r>
    </w:p>
    <w:p>
      <w:r>
        <w:t xml:space="preserve">Капитальный ремонт синхронных компенсаторов производится 1 раз в 4-5 лет. Первые ремонтные работы с выемкой ротора на турбогенераторах и синхронных компенсаторах, включая усиление крепления лобовых частей, переклиновку пазов статора, проверку крепления шин и кронштейнов, проверку крепления и плотности запрессовки сердечника статора, производятся не позднее, чем через 8000 часов работы после ввода в эксплуатацию. Первые ремонтные работы на гидрогенераторах производятся не позднее, чем через 6000 часов.</w:t>
      </w:r>
    </w:p>
    <w:p>
      <w:r>
        <w:t xml:space="preserve">Выемка роторов генераторов и синхронных компенсаторов при последующих ремонтах осуществляется по необходимости или в соответствии с требованиями настоящих Правил, Правил устройства электроустановок, утверждаемым в соответствии с подпунктом 270) пункта 15 Положения.";</w:t>
      </w:r>
    </w:p>
    <w:p>
      <w:r>
        <w:t xml:space="preserve">пункты 736 и 737 изложить в новой редакции:</w:t>
      </w:r>
    </w:p>
    <w:p>
      <w:r>
        <w:t xml:space="preserve">"736. Нейтрали обмоток 110 кВ и выше автотрансформаторов и реакторов, а также трансформаторов 330 кВ и выше работают в режиме глухого заземления.</w:t>
      </w:r>
    </w:p>
    <w:p>
      <w:r>
        <w:t xml:space="preserve">Допускается заземление нейтрали трансформаторов и автотрансформаторов через специальные реакторы по решению технического руководителя.</w:t>
      </w:r>
    </w:p>
    <w:p>
      <w:r>
        <w:t xml:space="preserve">Допускается работа трансформаторов 110 и 220 кВ с испытательным напряжением нейтрали соответственно 100 и 200 кВ с разземленной нейтралью при условии ее защиты разрядником по решению технического руководителя.</w:t>
      </w:r>
    </w:p>
    <w:p>
      <w:r>
        <w:t xml:space="preserve">При обосновании расчетами допускается работа трансформаторов 110 кВ с разземленной нейтралью с испытательным напряжением нейтрали 85 кВ, защищенной разрядником по решению технического руководителя.</w:t>
      </w:r>
    </w:p>
    <w:p>
      <w:pPr>
        <w:pStyle w:val="Heading2"/>
      </w:pPr>
      <w:r>
        <w:t xml:space="preserve">Пункт 737</w:t>
      </w:r>
    </w:p>
    <w:p>
      <w:r>
        <w:t xml:space="preserve">737. При срабатывании газового реле на сигнал производится наружный осмотр трансформатора (реактора), отбирается газ из реле для анализа и проверки на горючесть. Для обеспечения безопасности персонала при отборе газа из газового реле и выявления причины его срабатывания производится разгрузка и отключение трансформатора (реактора) в кратчайшие сроки.</w:t>
      </w:r>
    </w:p>
    <w:p>
      <w:r>
        <w:t xml:space="preserve">Если газ в реле негорючий, отсутствуют признаки повреждения трансформатора (реактора), а его отключение вызвало недоотпуск электроэнергии, трансформатор (реактор) может быть немедленно включен в работу до выяснения причины срабатывания газового реле на сигнал. Продолжительность работы трансформатора (реактора) в этом случае устанавливается техническим руководителем энергообъекта.</w:t>
      </w:r>
    </w:p>
    <w:p>
      <w:r>
        <w:t xml:space="preserve">По результатам анализа газа из газового реле, хроматографического анализа масла, других измерений (испытаний) устанавливается причина срабатывания газового реле на сигнал, определяется техническое состояние трансформатора (реактора) и возможность его нормальной эксплуатации.";</w:t>
      </w:r>
    </w:p>
    <w:p>
      <w:r>
        <w:t xml:space="preserve">часть третью пункта 765 изложить в новой редакции:</w:t>
      </w:r>
    </w:p>
    <w:p>
      <w:r>
        <w:t xml:space="preserve">"При обнаружении дефектов во время осмотра резервуаров воздушных выключателей производится их испытание. Внутренние поверхности резервуаров эксплуатируются с антикоррозионным покрытием.";</w:t>
      </w:r>
    </w:p>
    <w:p>
      <w:r>
        <w:t xml:space="preserve">подпункт 1) части второй пункта 883 изложить в новой редакции:</w:t>
      </w:r>
    </w:p>
    <w:p>
      <w:r>
        <w:t xml:space="preserve">"1) у опор с разъединителями, защитными промежутками, трубчатыми и вентильными разрядниками и у опор с повторными заземлителями нулевых проводов – не реже 1 раза в 6 лет;";</w:t>
      </w:r>
    </w:p>
    <w:p>
      <w:r>
        <w:t xml:space="preserve">дополнить пунктами 957-1, 957-2, 957-3, 957-4, 957-5, 957-6, 957-7, 957-8, 957-9, 957-10, 957-11, 957-12 и 957-13 следующего содержания:</w:t>
      </w:r>
    </w:p>
    <w:p>
      <w:r>
        <w:t xml:space="preserve">"957-1. Значения всех параметров систем накопления электрической энергии, определяющих условия и режим его работы, устанавливаются на основании данных заводов-изготовителей и специальных натурных испытаний, но не менее требуемых настоящими Правилами значений.</w:t>
      </w:r>
    </w:p>
    <w:p>
      <w:pPr>
        <w:pStyle w:val="Heading2"/>
      </w:pPr>
      <w:r>
        <w:t xml:space="preserve">Пункт 957-2</w:t>
      </w:r>
    </w:p>
    <w:p>
      <w:r>
        <w:t xml:space="preserve">957-2. Системы накопления электрической энергии оснащаются двунаправленными приборами учета электрической энергии, обеспечивающими раздельный учет объемов накапливаемой и выдаваемой электрической энергии.</w:t>
      </w:r>
    </w:p>
    <w:p>
      <w:pPr>
        <w:pStyle w:val="Heading2"/>
      </w:pPr>
      <w:r>
        <w:t xml:space="preserve">Пункт 957-3</w:t>
      </w:r>
    </w:p>
    <w:p>
      <w:r>
        <w:t xml:space="preserve">957-3. Управление системами накопления электрической энергии осуществляется через автоматизированные системы управления.</w:t>
      </w:r>
    </w:p>
    <w:p>
      <w:pPr>
        <w:pStyle w:val="Heading2"/>
      </w:pPr>
      <w:r>
        <w:t xml:space="preserve">Пункт 957-4</w:t>
      </w:r>
    </w:p>
    <w:p>
      <w:r>
        <w:t xml:space="preserve">957-4. Системы накопления я электрической энергии мощностью 60 МВт и более подключаются к централизованной системе автоматического регулирования частоты и мощности (ЦС АРЧМ).</w:t>
      </w:r>
    </w:p>
    <w:p>
      <w:r>
        <w:t xml:space="preserve">Системы накопления электрической энергии мощностью менее 60 МВт оснащается локальной системой автоматического управления мощностью при режимах накопления и выдачи электрической энергии.</w:t>
      </w:r>
    </w:p>
    <w:p>
      <w:pPr>
        <w:pStyle w:val="Heading2"/>
      </w:pPr>
      <w:r>
        <w:t xml:space="preserve">Пункт 957-5</w:t>
      </w:r>
    </w:p>
    <w:p>
      <w:r>
        <w:t xml:space="preserve">957-5. Системы накопления электрической энергии оснащаются необходимым объемом противоаварийной автоматики. При этом параметры вспомогательного оборудования не ограничивают максимальную выдачу электрической энергии систем накопления электрической энергии.</w:t>
      </w:r>
    </w:p>
    <w:p>
      <w:pPr>
        <w:pStyle w:val="Heading2"/>
      </w:pPr>
      <w:r>
        <w:t xml:space="preserve">Пункт 957-6</w:t>
      </w:r>
    </w:p>
    <w:p>
      <w:r>
        <w:t xml:space="preserve">957-6. Системы накопления электрической энергии защищаются от внешних коротких замыканий защитными устройствами.</w:t>
      </w:r>
    </w:p>
    <w:p>
      <w:pPr>
        <w:pStyle w:val="Heading2"/>
      </w:pPr>
      <w:r>
        <w:t xml:space="preserve">Пункт 957-7</w:t>
      </w:r>
    </w:p>
    <w:p>
      <w:r>
        <w:t xml:space="preserve">957-7. Минимально допустимый уровень заряда систем накопления электрической энергии определяется в соответствии с паспортными данными изготовителя (производителя) оборудования, но не более 10 % от общей емкости системы накопления энергии.</w:t>
      </w:r>
    </w:p>
    <w:p>
      <w:pPr>
        <w:pStyle w:val="Heading2"/>
      </w:pPr>
      <w:r>
        <w:t xml:space="preserve">Пункт 957-8</w:t>
      </w:r>
    </w:p>
    <w:p>
      <w:r>
        <w:t xml:space="preserve">957-8. Электрохимические системы накопления энергии обеспечивают не менее 400 (четыреста) полных циклов заряда (разряда) в календарный год, без ограничений количества циклов в сутки.</w:t>
      </w:r>
    </w:p>
    <w:p>
      <w:pPr>
        <w:pStyle w:val="Heading2"/>
      </w:pPr>
      <w:r>
        <w:t xml:space="preserve">Пункт 957-9</w:t>
      </w:r>
    </w:p>
    <w:p>
      <w:r>
        <w:t xml:space="preserve">957-9. Технологический расход электрической энергии (потери), а также потребление электрической энергии на собственные нужды системы накопления энергии компенсируются его владельцем.</w:t>
      </w:r>
    </w:p>
    <w:p>
      <w:pPr>
        <w:pStyle w:val="Heading2"/>
      </w:pPr>
      <w:r>
        <w:t xml:space="preserve">Пункт 957-10</w:t>
      </w:r>
    </w:p>
    <w:p>
      <w:r>
        <w:t xml:space="preserve">957-10. Коэффициент готовности систем накопления электрической энергии в год составляет не менее 0,92.</w:t>
      </w:r>
    </w:p>
    <w:p>
      <w:pPr>
        <w:pStyle w:val="Heading2"/>
      </w:pPr>
      <w:r>
        <w:t xml:space="preserve">Пункт 957-11</w:t>
      </w:r>
    </w:p>
    <w:p>
      <w:r>
        <w:t xml:space="preserve">957-11. Рекомендуемые уровни напряжения для системы накопления электрической энергии, подключенной к сети, определяются согласно приложению 27 к настоящим Правилам.</w:t>
      </w:r>
    </w:p>
    <w:p>
      <w:pPr>
        <w:pStyle w:val="Heading2"/>
      </w:pPr>
      <w:r>
        <w:t xml:space="preserve">Пункт 957-12</w:t>
      </w:r>
    </w:p>
    <w:p>
      <w:r>
        <w:t xml:space="preserve">957-12. К системам накопления электрической энергией устанавливаются требования в соответствии с пунктами 692-701 настоящих Правил. При этом технические и функциональные параметры системы накопления электрической энергии обеспечивают (но не ограничиваясь):</w:t>
      </w:r>
    </w:p>
    <w:p>
      <w:pPr>
        <w:pStyle w:val="Heading2"/>
      </w:pPr>
      <w:r>
        <w:t xml:space="preserve">Подпункт 1</w:t>
      </w:r>
    </w:p>
    <w:p>
      <w:r>
        <w:t xml:space="preserve">1) соблюдение суточных графиков производства электрической энергии;</w:t>
      </w:r>
    </w:p>
    <w:p>
      <w:pPr>
        <w:pStyle w:val="Heading2"/>
      </w:pPr>
      <w:r>
        <w:t xml:space="preserve">Подпункт 2</w:t>
      </w:r>
    </w:p>
    <w:p>
      <w:r>
        <w:t xml:space="preserve">2) соблюдение заданных системным оператором режимов работы;</w:t>
      </w:r>
    </w:p>
    <w:p>
      <w:pPr>
        <w:pStyle w:val="Heading2"/>
      </w:pPr>
      <w:r>
        <w:t xml:space="preserve">Подпункт 3</w:t>
      </w:r>
    </w:p>
    <w:p>
      <w:r>
        <w:t xml:space="preserve">3) задействование системы накопления электрической энергии в первичном, вторичном и третичном регулировании активной мощности;</w:t>
      </w:r>
    </w:p>
    <w:p>
      <w:pPr>
        <w:pStyle w:val="Heading2"/>
      </w:pPr>
      <w:r>
        <w:t xml:space="preserve">Подпункт 4</w:t>
      </w:r>
    </w:p>
    <w:p>
      <w:r>
        <w:t xml:space="preserve">4) передачу необходимой информации о параметрах работы системы накопления энергии;</w:t>
      </w:r>
    </w:p>
    <w:p>
      <w:pPr>
        <w:pStyle w:val="Heading2"/>
      </w:pPr>
      <w:r>
        <w:t xml:space="preserve">Подпункт 5</w:t>
      </w:r>
    </w:p>
    <w:p>
      <w:r>
        <w:t xml:space="preserve">5) задействование системы накопления электрической энергии в противоаварийном управлении.</w:t>
      </w:r>
    </w:p>
    <w:p>
      <w:pPr>
        <w:pStyle w:val="Heading2"/>
      </w:pPr>
      <w:r>
        <w:t xml:space="preserve">Пункт 957-13</w:t>
      </w:r>
    </w:p>
    <w:p>
      <w:r>
        <w:t xml:space="preserve">957-13. Режим работы систем накопления электрической энергии определяется Системным оператором в целях обеспечения соблюдения суточного графика, компенсации небаланса активной мощности в ЕЭС РК, регулирования реактивной мощности, частоты и напряжения, обеспечения устойчивости энергосистемы, поддержания заданного межгосударственного сальдо перетока и оптимизации загрузка линий электропередачи.";</w:t>
      </w:r>
    </w:p>
    <w:p>
      <w:r>
        <w:t xml:space="preserve">пункт 972 изложить в новой редакции:</w:t>
      </w:r>
    </w:p>
    <w:p>
      <w:r>
        <w:t xml:space="preserve">"972. Графики капитальных, средних и текущих ремонтов основного оборудования и сооружений (дымовых труб, градирен и другого) электростанций на предстоящий год составляются на основании нормативов и допустимых значений ремонтной мощности по месяцам года, согласуются с РДЦ или НДЦ СО Казахстана в соответствии с распределением оборудования по способу диспетчерского управления и утверждаются техническим руководителем организации.</w:t>
      </w:r>
    </w:p>
    <w:p>
      <w:r>
        <w:t xml:space="preserve">Изменение годовых графиков капитальных и средних ремонтов производится, когда отказ от изменения планов (графиков) влечет угрозу недопустимого снижения надежности работы энергосистемы и (или) качества электроэнергии, ограничения потребителей или при угрозе возникновения технологических нарушений, по согласованию с РДЦ, НДЦ СО Казахстана, с утверждением изменений в порядке, предусмотренном настоящими Правилами и Электросетевыми правилами, утвержденными приказом Министра энергетики Республики Казахстан от 18 декабря 2014 года № 210 (зарегистрирован в Реестре государственной регистрации нормативных правовых актов за № 10899).";</w:t>
      </w:r>
    </w:p>
    <w:p>
      <w:r>
        <w:t xml:space="preserve">пункты 979 и 980 изложить в новой редакции:</w:t>
      </w:r>
    </w:p>
    <w:p>
      <w:r>
        <w:t xml:space="preserve">"979. Регулирование частоты и перетоков мощности в ЕЭС Казахстана или в отдельно работающих энергоузлах осуществляется:</w:t>
      </w:r>
    </w:p>
    <w:p>
      <w:pPr>
        <w:pStyle w:val="Heading2"/>
      </w:pPr>
      <w:r>
        <w:t xml:space="preserve">Подпункт 1</w:t>
      </w:r>
    </w:p>
    <w:p>
      <w:r>
        <w:t xml:space="preserve">1) всеми электростанциями при изменении частоты путем изменения мощности под воздействием систем регулирования турбин в пределах регулировочного диапазона (первичное регулирование частоты), при этом статизм регулирования и зона нечувствительности по частоте согласуется с НДЦ СО Казахстана;</w:t>
      </w:r>
    </w:p>
    <w:p>
      <w:pPr>
        <w:pStyle w:val="Heading2"/>
      </w:pPr>
      <w:r>
        <w:t xml:space="preserve">Подпункт 2</w:t>
      </w:r>
    </w:p>
    <w:p>
      <w:r>
        <w:t xml:space="preserve">2) выделенными для регулирования режима по частоте и перетокам мощности электростанциями и системами накопления электрической энергии (вторичное регулирование режима);</w:t>
      </w:r>
    </w:p>
    <w:p>
      <w:pPr>
        <w:pStyle w:val="Heading2"/>
      </w:pPr>
      <w:r>
        <w:t xml:space="preserve">Подпункт 3</w:t>
      </w:r>
    </w:p>
    <w:p>
      <w:r>
        <w:t xml:space="preserve">3) всеми системами накопления электрической энергии при изменении частоты путем изменения мощности под воздействием систем регулирования в пределах регулировочного диапазона (первичное регулирование частоты), при этом статизм регулирования и зона нечувствительности по частоте согласуется с НДЦ СО Казахстана.</w:t>
      </w:r>
    </w:p>
    <w:p>
      <w:pPr>
        <w:pStyle w:val="Heading2"/>
      </w:pPr>
      <w:r>
        <w:t xml:space="preserve">Пункт 980</w:t>
      </w:r>
    </w:p>
    <w:p>
      <w:r>
        <w:t xml:space="preserve">980. При невозможности автоматического регулирования частоты и перетоков мощности (далее – АРЧМ) (отсутствие или неисправность системы АРЧМ, ограничения по режиму) регулирование осуществляется электростанциями и системами накопления электрической энергии по распоряжению диспетчера НДЦ СО Казахстана.";</w:t>
      </w:r>
    </w:p>
    <w:p>
      <w:r>
        <w:t xml:space="preserve">пункт 984 изложить в новой редакции:</w:t>
      </w:r>
    </w:p>
    <w:p>
      <w:r>
        <w:t xml:space="preserve">"984. При аварийных отклонениях частоты персоналу электростанций и систем накопления электрической энергии необходимо самостоятельно принимать меры к ее восстановлению, действуя по местной инструкции, составленной в соответствии с указаниями вышестоящего оперативно-диспетчерского персонала.";</w:t>
      </w:r>
    </w:p>
    <w:p>
      <w:r>
        <w:t xml:space="preserve">пункт 1016 изложить в новой редакции:</w:t>
      </w:r>
    </w:p>
    <w:p>
      <w:r>
        <w:t xml:space="preserve">"1016. Нормальные и ремонтные схемы соединений подстанций и электростанций ежегодно утверждает техническому руководителю энергообъекта (структурной единицы). Нормальные схемы электрической сети ежегодно утверждает технический руководитель электрической сети (согласно уровню диспетчерского управления).</w:t>
      </w:r>
    </w:p>
    <w:p>
      <w:r>
        <w:t xml:space="preserve">Нормальные и ремонтные схемы согласуются с органом диспетчерского управления, в оперативном ведении или оперативном управлении которого находится входящее в них оборудование.";</w:t>
      </w:r>
    </w:p>
    <w:p>
      <w:r>
        <w:t xml:space="preserve">пункт 1090 изложить в новой редакции:</w:t>
      </w:r>
    </w:p>
    <w:p>
      <w:r>
        <w:t xml:space="preserve">"1090. Оперативные и административно-технические руководители имеют право снять с рабочего места подчиненный ему оперативно-диспетчерский персонал, не выполняющий свои обязанности, и произвести соответствующую замену или перераспределение обязанностей в смене.</w:t>
      </w:r>
    </w:p>
    <w:p>
      <w:r>
        <w:t xml:space="preserve">При этом делается запись в оперативном журнале или выпускается письменное распоряжение и уведомляется по соподчиненности персонал соответствующих уровней оперативно-диспетчерского управления.";</w:t>
      </w:r>
    </w:p>
    <w:p>
      <w:pPr>
        <w:pStyle w:val="Heading2"/>
      </w:pPr>
      <w:r>
        <w:t xml:space="preserve">Приложение приложение 11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27 согласно приложению 2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|  | Приложение 1 к приказу Министр энергетики Республики Казахстан от 14 октября 2024 года № 367 |</w:t>
      </w:r>
    </w:p>
    <w:p>
      <w:r>
        <w:t xml:space="preserve">|---|---|</w:t>
      </w:r>
    </w:p>
    <w:p>
      <w:r>
        <w:t xml:space="preserve">|  | Приложение 11 к Правилам технической эксплуатации электрических станций и сетей |</w:t>
      </w:r>
    </w:p>
    <w:p>
      <w:pPr>
        <w:pStyle w:val="Heading2"/>
      </w:pPr>
      <w:r>
        <w:t xml:space="preserve">Глава Качество конденсата турбин</w:t>
      </w:r>
    </w:p>
    <w:p>
      <w:r>
        <w:t xml:space="preserve">| Номинальное давление за котлом, кгс/см 2 (Мпа) | 40 (3,9) | 100 (9,8) | 140(13,8) |</w:t>
      </w:r>
    </w:p>
    <w:p>
      <w:r>
        <w:t xml:space="preserve">|---|---|---|---|</w:t>
      </w:r>
    </w:p>
    <w:p>
      <w:r>
        <w:t xml:space="preserve">| Общая жесткость, мкг-экв/дм 3 , не более, для котлов: |  |  |  |</w:t>
      </w:r>
    </w:p>
    <w:p>
      <w:r>
        <w:t xml:space="preserve">| на жидком топливе | 5 | 1 | 1 |</w:t>
      </w:r>
    </w:p>
    <w:p>
      <w:r>
        <w:t xml:space="preserve">| на других видах топливах | 10 | 3 | 1 |</w:t>
      </w:r>
    </w:p>
    <w:p>
      <w:pPr>
        <w:pStyle w:val="Heading2"/>
      </w:pPr>
      <w:r>
        <w:t xml:space="preserve">Текст</w:t>
      </w:r>
    </w:p>
    <w:p>
      <w:r>
        <w:t xml:space="preserve">Содержание растворенного кислорода после конденсаторных насосов составляет не более 20 мкг/кг. Для турбин, работающих в режиме ухудшенного вакуума с подогревом сетевой воды в конденсаторе, корректируется согласно нормативной характеристике оборудования.</w:t>
      </w:r>
    </w:p>
    <w:p>
      <w:r>
        <w:t xml:space="preserve">|  | Приложение 2 к приказу Министр энергетики Республики Казахстан от 14 октября 2024 года № 367 |</w:t>
      </w:r>
    </w:p>
    <w:p>
      <w:r>
        <w:t xml:space="preserve">|---|---|</w:t>
      </w:r>
    </w:p>
    <w:p>
      <w:r>
        <w:t xml:space="preserve">|  | Приложение 27 к Правилам технической эксплуатации электрических станций и сетей |</w:t>
      </w:r>
    </w:p>
    <w:p>
      <w:pPr>
        <w:pStyle w:val="Heading2"/>
      </w:pPr>
      <w:r>
        <w:t xml:space="preserve">Глава Уровни напряжения для системы накопления энергии, подключенной к сети</w:t>
      </w:r>
    </w:p>
    <w:p>
      <w:r>
        <w:t xml:space="preserve">| Номинальная мощность системы хранения энергии | Уровень напряжения доступа | Режим доступа |</w:t>
      </w:r>
    </w:p>
    <w:p>
      <w:r>
        <w:t xml:space="preserve">|---|---|---|</w:t>
      </w:r>
    </w:p>
    <w:p>
      <w:r>
        <w:t xml:space="preserve">| До 8 кВт | 220/0,4 кВ | Однофазный или трехфазный |</w:t>
      </w:r>
    </w:p>
    <w:p>
      <w:r>
        <w:t xml:space="preserve">| 8,1 кВт - 1000 кВт | 0,4 кВ | Трехфазный |</w:t>
      </w:r>
    </w:p>
    <w:p>
      <w:r>
        <w:t xml:space="preserve">| 1001 кВт - 5000 кВт | 6 кВ - 10 кВ | Трехфазный |</w:t>
      </w:r>
    </w:p>
    <w:p>
      <w:r>
        <w:t xml:space="preserve">| 5001 кВт – 100 000 кВт | 35 кВ -110 кВ | Трехфазный |</w:t>
      </w:r>
    </w:p>
    <w:p>
      <w:r>
        <w:t xml:space="preserve">| Более 100 001 кВт | 220 кВ и выше | Трехфазный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