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исполняющего обязанности Министра по инвестициям и развитию Республики Казахстан и Министра цифрового развития, инноваций и аэрокосмической промышленности Республики Казахстан</w:t>
      </w:r>
    </w:p>
    <w:p>
      <w:r>
        <w:t xml:space="preserve">Приказ, Изменения.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29.02.2024. № 193863. редакция от 29.02.2024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исполняющего обязанности Министра по инвестициям и развитию Республики Казахстан и Министра цифрового развития, инноваций и аэрокосмической промышленности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приказе исполняющего обязанности Министра по инвестициям и развитию Республики Казахстан от 24 февраля 2015 года № 171 "Об утверждении правил оказания услуг связи" (зарегистрирован в Реестре государственной регистрации нормативных правовых актов за № 10999):</w:t>
      </w:r>
    </w:p>
    <w:p>
      <w:r>
        <w:t xml:space="preserve">в Правилах оказания услуг связи, утвержденных указанным приказом:</w:t>
      </w:r>
    </w:p>
    <w:p>
      <w:r>
        <w:t xml:space="preserve">пункт 3 изложить в следующей редакций:</w:t>
      </w:r>
    </w:p>
    <w:p>
      <w:r>
        <w:t xml:space="preserve">"3.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абонент – физическое или юридическое лицо, с которым заключен договор на оказание услуг связи;</w:t>
      </w:r>
    </w:p>
    <w:p>
      <w:pPr>
        <w:pStyle w:val="Heading2"/>
      </w:pPr>
      <w:r>
        <w:t xml:space="preserve">Подпункт 2</w:t>
      </w:r>
    </w:p>
    <w:p>
      <w:r>
        <w:t xml:space="preserve">2) служебная информация об абонентах и (или) пользователях услуг связи – сведения об абонентах и (или) пользователях услуг связи, предназначенные исключительно для целей проведения контрразведывательной деятельности и оперативно-розыскных мероприятий на сетях связи и включающие в себя:</w:t>
      </w:r>
    </w:p>
    <w:p>
      <w:r>
        <w:t xml:space="preserve">информацию об абонентских и (или) пользовательских номерах, включая сведения об индивидуальных идентификационных номерах (для физических лиц) или бизнес-идентификационных номерах (для юридических лиц) владельцев абонентских и (или) пользовательских номеров;</w:t>
      </w:r>
    </w:p>
    <w:p>
      <w:r>
        <w:t xml:space="preserve">информацию об идентификационных кодах абонентских устройств сотовой связи, включая сведения об индивидуальных идентификационных номерах (для физических лиц) или бизнес-идентификационных номерах (для юридических лиц) владельцев абонентских устройств сотовой связи;</w:t>
      </w:r>
    </w:p>
    <w:p>
      <w:r>
        <w:t xml:space="preserve">биллинговые сведения (сведения о полученных абонентом и (или) пользователем услугах) исходные данные для последующей обработки в биллинговой системе об услугах, предоставленных оператором связи, поступают от системы измерения длительности соединений и системы измерения передачи данных, которые входят в состав коммутационного оборудования сети телекоммуникаций;</w:t>
      </w:r>
    </w:p>
    <w:p>
      <w:r>
        <w:t xml:space="preserve">местоположение абонентского устройства в сети в соответствии с требованиями технического регламента;</w:t>
      </w:r>
    </w:p>
    <w:p>
      <w:r>
        <w:t xml:space="preserve">адреса в сети передачи данных;</w:t>
      </w:r>
    </w:p>
    <w:p>
      <w:r>
        <w:t xml:space="preserve">адреса обращения к интернет-ресурсам в сети передачи данных;</w:t>
      </w:r>
    </w:p>
    <w:p>
      <w:r>
        <w:t xml:space="preserve">идентификаторы интернет-ресурса;</w:t>
      </w:r>
    </w:p>
    <w:p>
      <w:r>
        <w:t xml:space="preserve">протоколы сети передачи данных;</w:t>
      </w:r>
    </w:p>
    <w:p>
      <w:pPr>
        <w:pStyle w:val="Heading2"/>
      </w:pPr>
      <w:r>
        <w:t xml:space="preserve">Подпункт 3</w:t>
      </w:r>
    </w:p>
    <w:p>
      <w:r>
        <w:t xml:space="preserve">3) абонентская линия – линия связи, являющаяся частью местной сети телекоммуникаций и соединяющая абонентское устройство со средствами телекоммуникаций этой сети;</w:t>
      </w:r>
    </w:p>
    <w:p>
      <w:pPr>
        <w:pStyle w:val="Heading2"/>
      </w:pPr>
      <w:r>
        <w:t xml:space="preserve">Подпункт 4</w:t>
      </w:r>
    </w:p>
    <w:p>
      <w:r>
        <w:t xml:space="preserve">4) абонентский номер – номер, выделяемый в пользование абоненту при заключении договора об оказании услуг связи, по которому идентифицируется абонентское устройство с помощью которого устанавливается соединение с другим абонентским оборудованием и позволяющий идентифицировать абонента в сети;</w:t>
      </w:r>
    </w:p>
    <w:p>
      <w:pPr>
        <w:pStyle w:val="Heading2"/>
      </w:pPr>
      <w:r>
        <w:t xml:space="preserve">Подпункт 5</w:t>
      </w:r>
    </w:p>
    <w:p>
      <w:r>
        <w:t xml:space="preserve">5) абонентское устройство – средство связи индивидуального использования, формирующее сигналы электрической связи для передачи или приема заданной абонентом информации и подключаемое к сети оператора связи;</w:t>
      </w:r>
    </w:p>
    <w:p>
      <w:pPr>
        <w:pStyle w:val="Heading2"/>
      </w:pPr>
      <w:r>
        <w:t xml:space="preserve">Подпункт 6</w:t>
      </w:r>
    </w:p>
    <w:p>
      <w:r>
        <w:t xml:space="preserve">6) заявление абонента – обращение абонента к оператору в письменной форме, а также через автоматическую систему обслуживания или в справочно-информационную службу оператора, в том числе с использованием многофакторной аутентификации;</w:t>
      </w:r>
    </w:p>
    <w:p>
      <w:pPr>
        <w:pStyle w:val="Heading2"/>
      </w:pPr>
      <w:r>
        <w:t xml:space="preserve">Подпункт 7</w:t>
      </w:r>
    </w:p>
    <w:p>
      <w:r>
        <w:t xml:space="preserve">7) автоматическая система обслуживания – комплексная система обслуживания, предоставляющая абоненту возможность подключения или отключения услуг связи и технологически связанных с ними услуг, тарифного плана через личный кабинет (путем отправки SMS-, MMS- или USSD-запроса), либо путем использования технических возможностей, предоставляемых оператором.</w:t>
      </w:r>
    </w:p>
    <w:p>
      <w:pPr>
        <w:pStyle w:val="Heading2"/>
      </w:pPr>
      <w:r>
        <w:t xml:space="preserve">Подпункт 8</w:t>
      </w:r>
    </w:p>
    <w:p>
      <w:r>
        <w:t xml:space="preserve">8) зоновая телефонная связь – телефонное соединение между пользовательским (оконечным) оборудованием, подключенным к местной сети телекоммуникаций и размещенным в пределах одной зоны нумерации;</w:t>
      </w:r>
    </w:p>
    <w:p>
      <w:pPr>
        <w:pStyle w:val="Heading2"/>
      </w:pPr>
      <w:r>
        <w:t xml:space="preserve">Подпункт 9</w:t>
      </w:r>
    </w:p>
    <w:p>
      <w:r>
        <w:t xml:space="preserve">9) перенос абонентского номера – услуга по сохранению и использованию абонентского номера в сетях сотовой связи, предоставляемая абоненту при заключении им нового договора об оказании услуг сотовой связи с другим оператором сотовой связи;</w:t>
      </w:r>
    </w:p>
    <w:p>
      <w:pPr>
        <w:pStyle w:val="Heading2"/>
      </w:pPr>
      <w:r>
        <w:t xml:space="preserve">Подпункт 10</w:t>
      </w:r>
    </w:p>
    <w:p>
      <w:r>
        <w:t xml:space="preserve">10) карта идентификации абонента – идентификационный микропроцессорный модуль (съемный или встроенный) индивидуального доступа, являющийся частью абонентского устройства, который идентифицирует абонента и обеспечивает доступ абонента к услугам оператора сотовой связи (SIM/R-UIM-, USIM-, eSim- карты);</w:t>
      </w:r>
    </w:p>
    <w:p>
      <w:pPr>
        <w:pStyle w:val="Heading2"/>
      </w:pPr>
      <w:r>
        <w:t xml:space="preserve">Подпункт 11</w:t>
      </w:r>
    </w:p>
    <w:p>
      <w:r>
        <w:t xml:space="preserve">11) лицевой счет абонента (далее – лицевой счет) – регистр аналитического учета в биллинговой системе оператора связи, предназначенный для учета объема оказанных услуг, поступления и расходования денег, внесенных согласно заключенного договора с абонентом в счет оплаты услуг;</w:t>
      </w:r>
    </w:p>
    <w:p>
      <w:pPr>
        <w:pStyle w:val="Heading2"/>
      </w:pPr>
      <w:r>
        <w:t xml:space="preserve">Подпункт 12</w:t>
      </w:r>
    </w:p>
    <w:p>
      <w:r>
        <w:t xml:space="preserve">12) предоплаченный пакет – абонентский номер, с первоначальным балансом, запрограммированный на определенный тарифный план;</w:t>
      </w:r>
    </w:p>
    <w:p>
      <w:pPr>
        <w:pStyle w:val="Heading2"/>
      </w:pPr>
      <w:r>
        <w:t xml:space="preserve">Подпункт 13</w:t>
      </w:r>
    </w:p>
    <w:p>
      <w:r>
        <w:t xml:space="preserve">13) авторизация – процесс анализа на сервере оператора связи введенных абонентом и (или) пользователем аутентификационных данных, по результатам которого определяется наличие у абонента и (или) пользователя прав на получение услуги доступа к Интернету;</w:t>
      </w:r>
    </w:p>
    <w:p>
      <w:pPr>
        <w:pStyle w:val="Heading2"/>
      </w:pPr>
      <w:r>
        <w:t xml:space="preserve">Подпункт 14</w:t>
      </w:r>
    </w:p>
    <w:p>
      <w:r>
        <w:t xml:space="preserve">14) аутентификационные данные – уникальный логин (login) и пароль (password) абонента и (или) пользователя, используемые для подтверждения права на получение услуги доступа к Интернету или и (или) технологически связанных с ними услуг, в качестве аутентификационных данных может также использоваться абонентский номер;</w:t>
      </w:r>
    </w:p>
    <w:p>
      <w:pPr>
        <w:pStyle w:val="Heading2"/>
      </w:pPr>
      <w:r>
        <w:t xml:space="preserve">Подпункт 15</w:t>
      </w:r>
    </w:p>
    <w:p>
      <w:r>
        <w:t xml:space="preserve">15) канал связи – комплекс средств телекоммуникаций и среды распространения, обеспечивающий передачу сигнала между средствами телекоммуникаций в полосе частот или со скоростью передачи, характерной для данного канала связи. В зависимости от вида связи каналы подразделяются на телефонные, телеграфные, передачи данных, а по территориальному признаку – на международные, междугородные, зоновые и местные;</w:t>
      </w:r>
    </w:p>
    <w:p>
      <w:pPr>
        <w:pStyle w:val="Heading2"/>
      </w:pPr>
      <w:r>
        <w:t xml:space="preserve">Подпункт 16</w:t>
      </w:r>
    </w:p>
    <w:p>
      <w:r>
        <w:t xml:space="preserve">16) линии связи – линии передачи (кабельные, радиорелейные, спутниковые и другие), физические цепи и линейно-кабельные сооружения связи, в том числе магистральные (международные и междугородные);</w:t>
      </w:r>
    </w:p>
    <w:p>
      <w:pPr>
        <w:pStyle w:val="Heading2"/>
      </w:pPr>
      <w:r>
        <w:t xml:space="preserve">Подпункт 17</w:t>
      </w:r>
    </w:p>
    <w:p>
      <w:r>
        <w:t xml:space="preserve">17) услуги связи – деятельность по приему, обработке, хранению, передаче, перевозке, доставке почтовых и специальных отправлений, почтовых переводов денег или сообщений телекоммуникаций;</w:t>
      </w:r>
    </w:p>
    <w:p>
      <w:pPr>
        <w:pStyle w:val="Heading2"/>
      </w:pPr>
      <w:r>
        <w:t xml:space="preserve">Подпункт 18</w:t>
      </w:r>
    </w:p>
    <w:p>
      <w:r>
        <w:t xml:space="preserve">18) оказание услуг связи – деятельность операторов связи, заключающаяся в предоставлении пользователям услуг связи, приведенных в общем классификаторе продукции видов экономической деятельности;</w:t>
      </w:r>
    </w:p>
    <w:p>
      <w:pPr>
        <w:pStyle w:val="Heading2"/>
      </w:pPr>
      <w:r>
        <w:t xml:space="preserve">Подпункт 19</w:t>
      </w:r>
    </w:p>
    <w:p>
      <w:r>
        <w:t xml:space="preserve">19) оператор связи – физическое или юридическое лицо, зарегистрированное на территории Республики Казахстан, оказывающее услуги связи и (или) эксплуатирующее сети связи;</w:t>
      </w:r>
    </w:p>
    <w:p>
      <w:pPr>
        <w:pStyle w:val="Heading2"/>
      </w:pPr>
      <w:r>
        <w:t xml:space="preserve">Подпункт 20</w:t>
      </w:r>
    </w:p>
    <w:p>
      <w:r>
        <w:t xml:space="preserve">20) зона действия оператора связи – территория, на которой оператор связи гарантирует оказание услуг телефонной связи в соответствии с возможностями своей сети телекоммуникаций;</w:t>
      </w:r>
    </w:p>
    <w:p>
      <w:pPr>
        <w:pStyle w:val="Heading2"/>
      </w:pPr>
      <w:r>
        <w:t xml:space="preserve">Подпункт 21</w:t>
      </w:r>
    </w:p>
    <w:p>
      <w:r>
        <w:t xml:space="preserve">21) биллинг – аппаратно- программный комплекс, предназначенный для автоматического выполнения операций учета услуг, предоставляемых абонентам, а также их тарификации и выставления счетов для оплаты;</w:t>
      </w:r>
    </w:p>
    <w:p>
      <w:pPr>
        <w:pStyle w:val="Heading2"/>
      </w:pPr>
      <w:r>
        <w:t xml:space="preserve">Подпункт 22</w:t>
      </w:r>
    </w:p>
    <w:p>
      <w:r>
        <w:t xml:space="preserve">22) базовый тарифный план – тарифный план с авансовым порядком расчета без абонентской платы и содержащий основные услуги сотовой связи;</w:t>
      </w:r>
    </w:p>
    <w:p>
      <w:pPr>
        <w:pStyle w:val="Heading2"/>
      </w:pPr>
      <w:r>
        <w:t xml:space="preserve">Подпункт 23</w:t>
      </w:r>
    </w:p>
    <w:p>
      <w:r>
        <w:t xml:space="preserve">23) оператор-донор (далее – донор) – оператор сотовой связи, из сети связи которого осуществляется перенос абонентского номера;</w:t>
      </w:r>
    </w:p>
    <w:p>
      <w:pPr>
        <w:pStyle w:val="Heading2"/>
      </w:pPr>
      <w:r>
        <w:t xml:space="preserve">Подпункт 24</w:t>
      </w:r>
    </w:p>
    <w:p>
      <w:r>
        <w:t xml:space="preserve">24) учетный период – календарный месяц, в течение которого оказывались и учитывались услуги связи и иные услуги в зависимости от тарифного плана;</w:t>
      </w:r>
    </w:p>
    <w:p>
      <w:pPr>
        <w:pStyle w:val="Heading2"/>
      </w:pPr>
      <w:r>
        <w:t xml:space="preserve">Подпункт 25</w:t>
      </w:r>
    </w:p>
    <w:p>
      <w:r>
        <w:t xml:space="preserve">25) соединительная линия – комплекс технических средств, включающих в себя линию связи и части станционного оборудования, обеспечивающая взаимодействие между присоединяющей и присоединяемой сетями телекоммуникаций;</w:t>
      </w:r>
    </w:p>
    <w:p>
      <w:pPr>
        <w:pStyle w:val="Heading2"/>
      </w:pPr>
      <w:r>
        <w:t xml:space="preserve">Подпункт 26</w:t>
      </w:r>
    </w:p>
    <w:p>
      <w:r>
        <w:t xml:space="preserve">26) личный кабинет – персональный раздел абонента на интернет ресурсе оператора или в мобильном приложении на абонентском устройстве, который имеет автоматический интерфейс самообслуживания, контроля и управления услугами, а также совершения юридически значимых действий, доступ к которой осуществляется абонентом и (или) пользователем посредством ввода данных (абонентский номер, пароль, кодовое слово и (или) иные данные, включая многофакторную аутентификацию);</w:t>
      </w:r>
    </w:p>
    <w:p>
      <w:pPr>
        <w:pStyle w:val="Heading2"/>
      </w:pPr>
      <w:r>
        <w:t xml:space="preserve">Подпункт 27</w:t>
      </w:r>
    </w:p>
    <w:p>
      <w:r>
        <w:t xml:space="preserve">27) местная сеть телекоммуникаций – сеть и средства телекоммуникаций, предназначенные для осуществления электрической связи на территории населенного пункта. Местные сети телекоммуникаций подразделяются на городские и сельские в зависимости от статуса населенного пункта;</w:t>
      </w:r>
    </w:p>
    <w:p>
      <w:pPr>
        <w:pStyle w:val="Heading2"/>
      </w:pPr>
      <w:r>
        <w:t xml:space="preserve">Подпункт 28</w:t>
      </w:r>
    </w:p>
    <w:p>
      <w:r>
        <w:t xml:space="preserve">28) местная телефонная связь – телефонное соединение между абонентами, пользователями, находящимися в пределах одной местной сети телекоммуникаций;</w:t>
      </w:r>
    </w:p>
    <w:p>
      <w:pPr>
        <w:pStyle w:val="Heading2"/>
      </w:pPr>
      <w:r>
        <w:t xml:space="preserve">Подпункт 29</w:t>
      </w:r>
    </w:p>
    <w:p>
      <w:r>
        <w:t xml:space="preserve">29) присоединение к публичному договору – способ заключения договора между оператором связи и абонентом при котором присоединяющийся абонент принимает условия предложенного публичного договора путем подписания формуляра или иным способом подтверждения посредством использования автоматической системы обслуживания по установленной оператором форме, в котором оговорено данное присоединение;</w:t>
      </w:r>
    </w:p>
    <w:p>
      <w:pPr>
        <w:pStyle w:val="Heading2"/>
      </w:pPr>
      <w:r>
        <w:t xml:space="preserve">Подпункт 30</w:t>
      </w:r>
    </w:p>
    <w:p>
      <w:r>
        <w:t xml:space="preserve">30) услуги доступа к Интернету посредством подвижных сетей связи – возможность работы в сети Интернет абонентского устройства, перемещаясь из одной зоны действия одной базовой станции в другую без разрыва связи при скорости перемещения до 150 км/час;</w:t>
      </w:r>
    </w:p>
    <w:p>
      <w:pPr>
        <w:pStyle w:val="Heading2"/>
      </w:pPr>
      <w:r>
        <w:t xml:space="preserve">Подпункт 31</w:t>
      </w:r>
    </w:p>
    <w:p>
      <w:r>
        <w:t xml:space="preserve">31) пункт общественного доступа к Интернету – место оказания пользователям возмездных или безвозмездных услуг доступа к Интернету;</w:t>
      </w:r>
    </w:p>
    <w:p>
      <w:pPr>
        <w:pStyle w:val="Heading2"/>
      </w:pPr>
      <w:r>
        <w:t xml:space="preserve">Подпункт 32</w:t>
      </w:r>
    </w:p>
    <w:p>
      <w:r>
        <w:t xml:space="preserve">32) владелец пункта общественного доступа к Интернету (далее – владелец) – физическое или юридическое лицо, которому принадлежит пункт общественного доступа к Интернету на правах собственности или иных законных основаниях;</w:t>
      </w:r>
    </w:p>
    <w:p>
      <w:pPr>
        <w:pStyle w:val="Heading2"/>
      </w:pPr>
      <w:r>
        <w:t xml:space="preserve">Подпункт 33</w:t>
      </w:r>
    </w:p>
    <w:p>
      <w:r>
        <w:t xml:space="preserve">33) услуга доступа к Интернету – услуга по приему и передаче данных с использованием сети Интернет;</w:t>
      </w:r>
    </w:p>
    <w:p>
      <w:pPr>
        <w:pStyle w:val="Heading2"/>
      </w:pPr>
      <w:r>
        <w:t xml:space="preserve">Подпункт 34</w:t>
      </w:r>
    </w:p>
    <w:p>
      <w:r>
        <w:t xml:space="preserve">34) оператор услуг доступа к Интернету – физическое или юридическое лицо, зарегистрированное на территории Республики Казахстан, оказывающее услуги связи и (или) эксплуатирующее сети связи;</w:t>
      </w:r>
    </w:p>
    <w:p>
      <w:pPr>
        <w:pStyle w:val="Heading2"/>
      </w:pPr>
      <w:r>
        <w:t xml:space="preserve">Подпункт 35</w:t>
      </w:r>
    </w:p>
    <w:p>
      <w:r>
        <w:t xml:space="preserve">35) доступ к Интернету посредством фиксированных сетей связи – возможность работы в Интернет абонентского устройства в радиусе действия определенной базовой станции, при перемещении из одной зоны в другую связь разрывается и устанавливается заново;</w:t>
      </w:r>
    </w:p>
    <w:p>
      <w:pPr>
        <w:pStyle w:val="Heading2"/>
      </w:pPr>
      <w:r>
        <w:t xml:space="preserve">Подпункт 36</w:t>
      </w:r>
    </w:p>
    <w:p>
      <w:r>
        <w:t xml:space="preserve">36) контент – содержательная часть услуги провайдера (содержимым могут быть определены различные данные/информация: текстовые/видео/аудио файлы, графические изображения, фотографии, научные данные и другое);</w:t>
      </w:r>
    </w:p>
    <w:p>
      <w:pPr>
        <w:pStyle w:val="Heading2"/>
      </w:pPr>
      <w:r>
        <w:t xml:space="preserve">Подпункт 37</w:t>
      </w:r>
    </w:p>
    <w:p>
      <w:r>
        <w:t xml:space="preserve">37) комбинированная система оплаты услуг – система оплаты, при которой сумма платежей пользователя связи за определенный период времени состоит из:</w:t>
      </w:r>
    </w:p>
    <w:p>
      <w:r>
        <w:t xml:space="preserve">постоянной составляющей – платы за предоставление абонентской линии независимо от ее типа в постоянное пользование абоненту и определенное количество единиц тарификации местных соединений;</w:t>
      </w:r>
    </w:p>
    <w:p>
      <w:r>
        <w:t xml:space="preserve">повременной составляющей – платы за предоставление телефонного соединения в зависимости от его фактической продолжительности в единицах тарификации;</w:t>
      </w:r>
    </w:p>
    <w:p>
      <w:pPr>
        <w:pStyle w:val="Heading2"/>
      </w:pPr>
      <w:r>
        <w:t xml:space="preserve">Подпункт 38</w:t>
      </w:r>
    </w:p>
    <w:p>
      <w:r>
        <w:t xml:space="preserve">38) повременная система оплаты услуг – система оплаты услуг, при которой сумма платежей пользователя связи за определенный период времени включает плату за предоставление телефонного соединения в зависимости от его фактической продолжительности в единицах тарификации;</w:t>
      </w:r>
    </w:p>
    <w:p>
      <w:pPr>
        <w:pStyle w:val="Heading2"/>
      </w:pPr>
      <w:r>
        <w:t xml:space="preserve">Подпункт 39</w:t>
      </w:r>
    </w:p>
    <w:p>
      <w:r>
        <w:t xml:space="preserve">39) короткое текстовое и мультимедийное сообщение – услуга, оказываемая оператором сотовой связи, по приему и передаче информации посредством сети сотовой связи;</w:t>
      </w:r>
    </w:p>
    <w:p>
      <w:pPr>
        <w:pStyle w:val="Heading2"/>
      </w:pPr>
      <w:r>
        <w:t xml:space="preserve">Подпункт 40</w:t>
      </w:r>
    </w:p>
    <w:p>
      <w:r>
        <w:t xml:space="preserve">40) сеть телекоммуникаций общего пользования – сеть телекоммуникаций, доступная для пользования физическим и юридическим лицам;</w:t>
      </w:r>
    </w:p>
    <w:p>
      <w:pPr>
        <w:pStyle w:val="Heading2"/>
      </w:pPr>
      <w:r>
        <w:t xml:space="preserve">Подпункт 41</w:t>
      </w:r>
    </w:p>
    <w:p>
      <w:r>
        <w:t xml:space="preserve">41) представитель (агент, дилер, дистрибьютор, а также их субагенты и представители) оператора – юридическое или физическое лицо, уполномоченное на основании доверенности либо соответствующего договора с оператором на:</w:t>
      </w:r>
    </w:p>
    <w:p>
      <w:r>
        <w:t xml:space="preserve">осуществление распространения абонентских номеров и карт идентификации абонента;</w:t>
      </w:r>
    </w:p>
    <w:p>
      <w:r>
        <w:t xml:space="preserve">заключение от имени оператора договоров на оказание услуг сотовой связи;</w:t>
      </w:r>
    </w:p>
    <w:p>
      <w:r>
        <w:t xml:space="preserve">предоставление услуг абонентам операторов (прием платежей, замена SIM/R-UIM-карт);</w:t>
      </w:r>
    </w:p>
    <w:p>
      <w:pPr>
        <w:pStyle w:val="Heading2"/>
      </w:pPr>
      <w:r>
        <w:t xml:space="preserve">Подпункт 42</w:t>
      </w:r>
    </w:p>
    <w:p>
      <w:r>
        <w:t xml:space="preserve">42) роуминг – предоставление услуг сотовой связи абоненту оператора сотовой связи в сети оператора сотовой связи в другой стране, на основании роумингового соглашения между операторами сотовой связи. Для реализации роуминга необходима техническая совместимость абонентского устройства (сотового телефона абонента) и сети оператора связи в другой стране;</w:t>
      </w:r>
    </w:p>
    <w:p>
      <w:pPr>
        <w:pStyle w:val="Heading2"/>
      </w:pPr>
      <w:r>
        <w:t xml:space="preserve">Подпункт 43</w:t>
      </w:r>
    </w:p>
    <w:p>
      <w:r>
        <w:t xml:space="preserve">43) роуминг партнер – оператор сотовой связи другой страны, на основании договора предоставляющий услуги роуминга за пределами Республики Казахстан;</w:t>
      </w:r>
    </w:p>
    <w:p>
      <w:pPr>
        <w:pStyle w:val="Heading2"/>
      </w:pPr>
      <w:r>
        <w:t xml:space="preserve">Подпункт 44</w:t>
      </w:r>
    </w:p>
    <w:p>
      <w:r>
        <w:t xml:space="preserve">44) оператор-реципиент (далее – реципиент) – оператор сотовой связи, в сеть связи которого осуществляется перенос абонентского номера;</w:t>
      </w:r>
    </w:p>
    <w:p>
      <w:pPr>
        <w:pStyle w:val="Heading2"/>
      </w:pPr>
      <w:r>
        <w:t xml:space="preserve">Подпункт 45</w:t>
      </w:r>
    </w:p>
    <w:p>
      <w:r>
        <w:t xml:space="preserve">45) идентификационный код – код абонентского устройства или абонентской станции, присваиваемый заводом-изготовителем, который передается в сеть оператора связи при подключении к ней этого устройства;</w:t>
      </w:r>
    </w:p>
    <w:p>
      <w:pPr>
        <w:pStyle w:val="Heading2"/>
      </w:pPr>
      <w:r>
        <w:t xml:space="preserve">Подпункт 46</w:t>
      </w:r>
    </w:p>
    <w:p>
      <w:r>
        <w:t xml:space="preserve">46) расчетный период телефонной связи и доступа к Интернету – период после окончания учетного периода, установленный оператором связи в течение которого абонент оплачивает оказанные услуги фиксированной телефонной связи и доступа к Интернету;</w:t>
      </w:r>
    </w:p>
    <w:p>
      <w:pPr>
        <w:pStyle w:val="Heading2"/>
      </w:pPr>
      <w:r>
        <w:t xml:space="preserve">Подпункт 47</w:t>
      </w:r>
    </w:p>
    <w:p>
      <w:r>
        <w:t xml:space="preserve">47) тариф – денежное выражение стоимости размера единицы тарификации услуг связи установленная оператором связи плата за оказание услуг связи;</w:t>
      </w:r>
    </w:p>
    <w:p>
      <w:pPr>
        <w:pStyle w:val="Heading2"/>
      </w:pPr>
      <w:r>
        <w:t xml:space="preserve">Подпункт 48</w:t>
      </w:r>
    </w:p>
    <w:p>
      <w:r>
        <w:t xml:space="preserve">48) единица тарификации – единица измерения времени, количества или объема информации, за которые взимается плата для соответствующего вида услуги связи, являющаяся обязательной для операторов связи и владельцев сетей всех категорий, входящих в единую сеть телекоммуникаций Республики Казахстан;</w:t>
      </w:r>
    </w:p>
    <w:p>
      <w:pPr>
        <w:pStyle w:val="Heading2"/>
      </w:pPr>
      <w:r>
        <w:t xml:space="preserve">Подпункт 49</w:t>
      </w:r>
    </w:p>
    <w:p>
      <w:r>
        <w:t xml:space="preserve">49) тарифный план – система тарифных предложений, определяющих перечень и стоимость услуг связи, особенности их предоставления и тарификации, устанавливаемый оператором связи абонентам, или определенной группе абонентов, или на определенной ограниченной территории;</w:t>
      </w:r>
    </w:p>
    <w:p>
      <w:pPr>
        <w:pStyle w:val="Heading2"/>
      </w:pPr>
      <w:r>
        <w:t xml:space="preserve">Подпункт 50</w:t>
      </w:r>
    </w:p>
    <w:p>
      <w:r>
        <w:t xml:space="preserve">50) сеть телекоммуникаций – совокупность средств телекоммуникаций и линий связи, обеспечивающих передачу сообщений телекоммуникаций, состоящая из коммутационного оборудования (станций, подстанций, концентраторов), линейно-кабельных сооружений (абонентских линий, соединительных линий и каналов связи), систем передачи и абонентских устройств;</w:t>
      </w:r>
    </w:p>
    <w:p>
      <w:pPr>
        <w:pStyle w:val="Heading2"/>
      </w:pPr>
      <w:r>
        <w:t xml:space="preserve">Подпункт 51</w:t>
      </w:r>
    </w:p>
    <w:p>
      <w:r>
        <w:t xml:space="preserve">51) средства телекоммуникаций (средства связи) – технические устройства, оборудование, системы и программные средства, позволяющие формировать, передавать, принимать, хранить, обрабатывать, коммутировать электромагнитные или оптические сигналы или управлять ими;</w:t>
      </w:r>
    </w:p>
    <w:p>
      <w:pPr>
        <w:pStyle w:val="Heading2"/>
      </w:pPr>
      <w:r>
        <w:t xml:space="preserve">Подпункт 52</w:t>
      </w:r>
    </w:p>
    <w:p>
      <w:r>
        <w:t xml:space="preserve">52) пользователь услугами связи (далее – пользователь) – физическое или юридическое лицо, получающее услуги связи.</w:t>
      </w:r>
    </w:p>
    <w:p>
      <w:pPr>
        <w:pStyle w:val="Heading2"/>
      </w:pPr>
      <w:r>
        <w:t xml:space="preserve">Подпункт 53</w:t>
      </w:r>
    </w:p>
    <w:p>
      <w:r>
        <w:t xml:space="preserve">53) абонентская фиксированная система оплаты услуг телефонных соединений (далее – абонентская система оплаты услуг) – система оплаты услуг, при которой сумма платежей пользователя связи за определенный период времени включает плату за предоставление абонентской линии независимо от ее типа в постоянное пользование абоненту и плату за предоставление местного телефонного соединения в зависимости от его средней продолжительности в расчете на одного абонента;</w:t>
      </w:r>
    </w:p>
    <w:p>
      <w:pPr>
        <w:pStyle w:val="Heading2"/>
      </w:pPr>
      <w:r>
        <w:t xml:space="preserve">Подпункт 54</w:t>
      </w:r>
    </w:p>
    <w:p>
      <w:r>
        <w:t xml:space="preserve">54) терминал – оконечное оборудование, подключаемое к абонентской линии, формирующее сигнал электрической связи для передачи и(или) приема заданной абонентом и (или) пользователем информации по каналам связи;</w:t>
      </w:r>
    </w:p>
    <w:p>
      <w:pPr>
        <w:pStyle w:val="Heading2"/>
      </w:pPr>
      <w:r>
        <w:t xml:space="preserve">Подпункт 55</w:t>
      </w:r>
    </w:p>
    <w:p>
      <w:r>
        <w:t xml:space="preserve">55) спаренная схема включения терминалов – способ включения двух терминалов в единую абонентскую линию, при котором невозможно одновременно соединение для этих двух терминалов;</w:t>
      </w:r>
    </w:p>
    <w:p>
      <w:pPr>
        <w:pStyle w:val="Heading2"/>
      </w:pPr>
      <w:r>
        <w:t xml:space="preserve">Подпункт 56</w:t>
      </w:r>
    </w:p>
    <w:p>
      <w:r>
        <w:t xml:space="preserve">56) техническая возможность – наличие функционирующих технических средств и сооружений связи в зоне действия сетей оператора связи необходимых для оказания абоненту услуг связи, а также наличие свободных ресурсов (ресурс нумерации и (или) абонентских и (или) пользовательских линий связи);</w:t>
      </w:r>
    </w:p>
    <w:p>
      <w:pPr>
        <w:pStyle w:val="Heading2"/>
      </w:pPr>
      <w:r>
        <w:t xml:space="preserve">Подпункт 57</w:t>
      </w:r>
    </w:p>
    <w:p>
      <w:r>
        <w:t xml:space="preserve">57) трафик – потоки вызовов, сообщений и сигналов, создающих нагрузку на средства связи;</w:t>
      </w:r>
    </w:p>
    <w:p>
      <w:pPr>
        <w:pStyle w:val="Heading2"/>
      </w:pPr>
      <w:r>
        <w:t xml:space="preserve">Подпункт 58</w:t>
      </w:r>
    </w:p>
    <w:p>
      <w:r>
        <w:t xml:space="preserve">58) техническое решение – комплекс программно-технических средств, разрабатываемых и поддерживающихся оператором, организационно-технические мероприятия в сети оператора, обеспечивающих доступ абонентов (пользователей) к услугам, посредством сети оператора;</w:t>
      </w:r>
    </w:p>
    <w:p>
      <w:pPr>
        <w:pStyle w:val="Heading2"/>
      </w:pPr>
      <w:r>
        <w:t xml:space="preserve">Подпункт 59</w:t>
      </w:r>
    </w:p>
    <w:p>
      <w:r>
        <w:t xml:space="preserve">59) расчетный период сотовой связи – тридцать календарных дней после окончания учетного периода, в течение которого абонент оплачивает оказанные ему услуги оператора сотовой связи по кредитному порядку расчетов;</w:t>
      </w:r>
    </w:p>
    <w:p>
      <w:pPr>
        <w:pStyle w:val="Heading2"/>
      </w:pPr>
      <w:r>
        <w:t xml:space="preserve">Подпункт 60</w:t>
      </w:r>
    </w:p>
    <w:p>
      <w:r>
        <w:t xml:space="preserve">60) сотовая связь – вид электрической связи, использующей деление обслуживаемой территории на ряд ячеек, обеспечивающий возможность непрерывности связи при перемещении абонента из ячейки в ячейку и предназначенной для двустороннего (многостороннего) обмена информацией, передаваемой посредством радиоволн;</w:t>
      </w:r>
    </w:p>
    <w:p>
      <w:pPr>
        <w:pStyle w:val="Heading2"/>
      </w:pPr>
      <w:r>
        <w:t xml:space="preserve">Подпункт 61</w:t>
      </w:r>
    </w:p>
    <w:p>
      <w:r>
        <w:t xml:space="preserve">61) сеть сотовой связи – категория единой сети телекоммуникаций Республики Казахстан, состоящая из комплекса технических сооружений и оборудования, способствующая установлению соединения абонентских устройств с помощью средств коммутации и оборудования приема-передачи радиосигналов;</w:t>
      </w:r>
    </w:p>
    <w:p>
      <w:pPr>
        <w:pStyle w:val="Heading2"/>
      </w:pPr>
      <w:r>
        <w:t xml:space="preserve">Подпункт 62</w:t>
      </w:r>
    </w:p>
    <w:p>
      <w:r>
        <w:t xml:space="preserve">62) оператор сотовой связи – оператор связи, предоставляющий услуги сотовой связи в соответствии с законодательством Республики Казахстан;</w:t>
      </w:r>
    </w:p>
    <w:p>
      <w:pPr>
        <w:pStyle w:val="Heading2"/>
      </w:pPr>
      <w:r>
        <w:t xml:space="preserve">Подпункт 63</w:t>
      </w:r>
    </w:p>
    <w:p>
      <w:r>
        <w:t xml:space="preserve">63) уведомление оператора сотовой связи – письменное, голосовое или текстовое (с использованием средств оператора связи и (или) средств массовой информации) сообщение оператора связи, направляемое абоненту по поводу оказания услуг сотовой связи;</w:t>
      </w:r>
    </w:p>
    <w:p>
      <w:pPr>
        <w:pStyle w:val="Heading2"/>
      </w:pPr>
      <w:r>
        <w:t xml:space="preserve">Подпункт 64</w:t>
      </w:r>
    </w:p>
    <w:p>
      <w:r>
        <w:t xml:space="preserve">64) зона обслуживания оператора сотовой связи – территория, на которой оператор сотовой связи оказывает услуги сотовой связи в соответствии с лицензией и техническими возможностями своей сети;</w:t>
      </w:r>
    </w:p>
    <w:p>
      <w:pPr>
        <w:pStyle w:val="Heading2"/>
      </w:pPr>
      <w:r>
        <w:t xml:space="preserve">Подпункт 65</w:t>
      </w:r>
    </w:p>
    <w:p>
      <w:r>
        <w:t xml:space="preserve">65) пользователь услугами сотовой связи – физическое лицо, получающее услуги сотовой связи и (или) технологически связанные с ними у слуги, которому абонент передал во временное пользование карту идентификации абонента. При этом все права и обязанности по договору об оказании услуг сотовой связи сохраняются за абонентом в полном объеме;</w:t>
      </w:r>
    </w:p>
    <w:p>
      <w:pPr>
        <w:pStyle w:val="Heading2"/>
      </w:pPr>
      <w:r>
        <w:t xml:space="preserve">Подпункт 66</w:t>
      </w:r>
    </w:p>
    <w:p>
      <w:r>
        <w:t xml:space="preserve">66) правительственная связь – специальная защищенная связь для нужд государственного управления;</w:t>
      </w:r>
    </w:p>
    <w:p>
      <w:pPr>
        <w:pStyle w:val="Heading2"/>
      </w:pPr>
      <w:r>
        <w:t xml:space="preserve">Подпункт 67</w:t>
      </w:r>
    </w:p>
    <w:p>
      <w:r>
        <w:t xml:space="preserve">67) пороговая сумма – сумма, необходимая для подключения услуги роуминга, зачисляющаяся на лицевой счет абонента и в последующем предназначенная для оплаты абонентом услуг сотовой связи, в том числе и в роуминге;</w:t>
      </w:r>
    </w:p>
    <w:p>
      <w:pPr>
        <w:pStyle w:val="Heading2"/>
      </w:pPr>
      <w:r>
        <w:t xml:space="preserve">Подпункт 68</w:t>
      </w:r>
    </w:p>
    <w:p>
      <w:r>
        <w:t xml:space="preserve">68) детализация счета – информация обо всех полученных абонентом услугах сотовой связи в сети своего оператора и сетях других операторов, с указанием абонентских номеров, даты и времени состоявшихся соединений, виды оказанных услуг сотовой связи с указанием объема услуг по каждому виду и суммы, предъявляемой к оплате;</w:t>
      </w:r>
    </w:p>
    <w:p>
      <w:pPr>
        <w:pStyle w:val="Heading2"/>
      </w:pPr>
      <w:r>
        <w:t xml:space="preserve">Подпункт 69</w:t>
      </w:r>
    </w:p>
    <w:p>
      <w:r>
        <w:t xml:space="preserve">69) крупная авария – повреждение линии связи или коммутационного оборудования емкостью 100 и более абонентских линий.";</w:t>
      </w:r>
    </w:p>
    <w:p>
      <w:r>
        <w:t xml:space="preserve">пункты 87 и 88 изложить в следующей редакций:</w:t>
      </w:r>
    </w:p>
    <w:p>
      <w:r>
        <w:t xml:space="preserve">"87. Оператор услуг доступа к Интернету в круглосуточном режиме оказывает бесплатно следующие информационно-справочные услуги:</w:t>
      </w:r>
    </w:p>
    <w:p>
      <w:pPr>
        <w:pStyle w:val="Heading2"/>
      </w:pPr>
      <w:r>
        <w:t xml:space="preserve">Подпункт 1</w:t>
      </w:r>
    </w:p>
    <w:p>
      <w:r>
        <w:t xml:space="preserve">1) выдает информацию о тарифах на услуги доступа к Интернету, о территории оказания услуг доступа к Интернету;</w:t>
      </w:r>
    </w:p>
    <w:p>
      <w:pPr>
        <w:pStyle w:val="Heading2"/>
      </w:pPr>
      <w:r>
        <w:t xml:space="preserve">Подпункт 2</w:t>
      </w:r>
    </w:p>
    <w:p>
      <w:r>
        <w:t xml:space="preserve">2) выдает информацию абоненту о состоянии его лицевого счета и о задолженности по оплате услуг доступа к Интернету, включая информацию о полученных абонентом и (или) пользователем услугах: времени, скорости пропуска передачи данных, объема полученной и (или) переданной информации;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прием информации от абонента о технических неисправностях, препятствующих пользованию услугами доступа к Интернету;</w:t>
      </w:r>
    </w:p>
    <w:p>
      <w:pPr>
        <w:pStyle w:val="Heading2"/>
      </w:pPr>
      <w:r>
        <w:t xml:space="preserve">Подпункт 4</w:t>
      </w:r>
    </w:p>
    <w:p>
      <w:r>
        <w:t xml:space="preserve">4) выдает информацию об оказываемых услугах доступа к Интернету.</w:t>
      </w:r>
    </w:p>
    <w:p>
      <w:pPr>
        <w:pStyle w:val="Heading2"/>
      </w:pPr>
      <w:r>
        <w:t xml:space="preserve">Пункт 88</w:t>
      </w:r>
    </w:p>
    <w:p>
      <w:r>
        <w:t xml:space="preserve">88. Оператор услуг доступа к Интернету осуществляет посредством биллинга автоматический учет информации о полученных абонентом и (или) пользователем услугах: времени, скорости пропуска доступа к Интернету, объема полученной и (или) переданной информации.".</w:t>
      </w:r>
    </w:p>
    <w:p>
      <w:pPr>
        <w:pStyle w:val="Heading2"/>
      </w:pPr>
      <w:r>
        <w:t xml:space="preserve">Подпункт 2</w:t>
      </w:r>
    </w:p>
    <w:p>
      <w:r>
        <w:t xml:space="preserve">2) в приказе Министра цифрового развития, инноваций и аэрокосмической промышленности Республики Казахстан от 30 июня 2023 года № 220/НҚ "Об утверждении Правил осуществления операторами связи сбора и хранения служебной информации об абонентах" (зарегистрирован в Реестре государственной регистрации нормативных правовых актов за № 33007):</w:t>
      </w:r>
    </w:p>
    <w:p>
      <w:r>
        <w:t xml:space="preserve">заголовок изложить в следующей редакции:</w:t>
      </w:r>
    </w:p>
    <w:p>
      <w:r>
        <w:t xml:space="preserve">"Об утверждении Правил осуществления операторами связи сбора и хранения служебной информации об абонентах и (или) пользователях услуг связи";</w:t>
      </w:r>
    </w:p>
    <w:p>
      <w:r>
        <w:t xml:space="preserve">пункт 1 изложить в следующей редакции:</w:t>
      </w:r>
    </w:p>
    <w:p>
      <w:r>
        <w:t xml:space="preserve">"1. Утвердить прилагаемые Правила осуществления операторами связи сбора и хранения служебной информации об абонентах и (или) пользователях услуг связи";</w:t>
      </w:r>
    </w:p>
    <w:p>
      <w:r>
        <w:t xml:space="preserve">в Правилах осуществления операторами связи сбора и хранения служебной информации об абонентах, утвержденных указанным приказом:</w:t>
      </w:r>
    </w:p>
    <w:p>
      <w:r>
        <w:t xml:space="preserve">заголовок изложить в следующей редакции:</w:t>
      </w:r>
    </w:p>
    <w:p>
      <w:r>
        <w:t xml:space="preserve">"Правила осуществления операторами связи сбора и хранения служебной информации об абонентах и (или) пользователях услуг связи";</w:t>
      </w:r>
    </w:p>
    <w:p>
      <w:r>
        <w:t xml:space="preserve">пункты 1 и 2 изложить в следующей редакций:</w:t>
      </w:r>
    </w:p>
    <w:p>
      <w:r>
        <w:t xml:space="preserve">"1. Настоящие Правила осуществления операторами связи сбора и хранения служебной информации об абонентах и (или) пользователях услуг связи (далее - Правила) разработаны в соответствии с Законами Республики Казахстан " Об оперативно-розыскной деятельности ", " О связи ", " О национальной безопасности Республики Казахстан", " Об информатизации ", " О контрразведывательной деятельности " и определяют порядок осуществления операторами связи Республики Казахстан сбора и хранения служебной информации об абонентах и (или) пользователях услуг связи.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применяются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абонент – физическое или юридическое лицо, с которым заключен договор на оказание услуг связи;</w:t>
      </w:r>
    </w:p>
    <w:p>
      <w:pPr>
        <w:pStyle w:val="Heading2"/>
      </w:pPr>
      <w:r>
        <w:t xml:space="preserve">Подпункт 2</w:t>
      </w:r>
    </w:p>
    <w:p>
      <w:r>
        <w:t xml:space="preserve">2) служебная информация об абонентах и (или) пользователях услуг связи – сведения об абонентах и (или) пользователях услуг связи, предназначенные исключительно для целей проведения контрразведывательной деятельности и оперативно-розыскных мероприятий на сетях связи и включающие в себя:</w:t>
      </w:r>
    </w:p>
    <w:p>
      <w:r>
        <w:t xml:space="preserve">информацию об абонентских и (или) пользовательских номерах, включая сведения об индивидуальных идентификационных номерах (для физических лиц) или бизнес-идентификационных номерах (для юридических лиц) владельцев абонентских и (или) пользовательских номеров;</w:t>
      </w:r>
    </w:p>
    <w:p>
      <w:r>
        <w:t xml:space="preserve">информацию об идентификационных кодах абонентских устройств сотовой связи, включая сведения об индивидуальных идентификационных номерах (для физических лиц) или бизнес-идентификационных номерах (для юридических лиц) владельцев абонентских устройств сотовой связи;</w:t>
      </w:r>
    </w:p>
    <w:p>
      <w:r>
        <w:t xml:space="preserve">биллинговые сведения (сведения о полученных абонентом и (или) пользователем услугах);</w:t>
      </w:r>
    </w:p>
    <w:p>
      <w:r>
        <w:t xml:space="preserve">местоположение абонентского устройства в сети в соответствии с требованиями технического регламента;</w:t>
      </w:r>
    </w:p>
    <w:p>
      <w:r>
        <w:t xml:space="preserve">адреса в сети передачи данных;</w:t>
      </w:r>
    </w:p>
    <w:p>
      <w:r>
        <w:t xml:space="preserve">адреса обращения к интернет-ресурсам в сети передачи данных;</w:t>
      </w:r>
    </w:p>
    <w:p>
      <w:r>
        <w:t xml:space="preserve">идентификаторы интернет-ресурса;</w:t>
      </w:r>
    </w:p>
    <w:p>
      <w:r>
        <w:t xml:space="preserve">протоколы сети передачи данных;</w:t>
      </w:r>
    </w:p>
    <w:p>
      <w:pPr>
        <w:pStyle w:val="Heading2"/>
      </w:pPr>
      <w:r>
        <w:t xml:space="preserve">Подпункт 3</w:t>
      </w:r>
    </w:p>
    <w:p>
      <w:r>
        <w:t xml:space="preserve">3) абонентский номер – номер, выделяемый в пользование абоненту при заключении договора об оказании услуг связи, по которому идентифицируется абонентское устройство с помощью которого устанавливается соединение с другим абонентским оборудованием и позволяющий идентифицировать абонента в сети;";</w:t>
      </w:r>
    </w:p>
    <w:p>
      <w:pPr>
        <w:pStyle w:val="Heading2"/>
      </w:pPr>
      <w:r>
        <w:t xml:space="preserve">Подпункт 4</w:t>
      </w:r>
    </w:p>
    <w:p>
      <w:r>
        <w:t xml:space="preserve">4) сеть связи - технологическая система, включающая в себя средства и линии связи и предназначенная для телекоммуникаций или почтовой связи;</w:t>
      </w:r>
    </w:p>
    <w:p>
      <w:pPr>
        <w:pStyle w:val="Heading2"/>
      </w:pPr>
      <w:r>
        <w:t xml:space="preserve">Подпункт 5</w:t>
      </w:r>
    </w:p>
    <w:p>
      <w:r>
        <w:t xml:space="preserve">5) оператор связи – физическое или юридическое лицо, зарегистрированное на территории Республики Казахстан, оказывающее услуги связи и (или) эксплуатирующее сети связи.";</w:t>
      </w:r>
    </w:p>
    <w:p>
      <w:r>
        <w:t xml:space="preserve">заголовок главы 2 изложить в следующей редакции:</w:t>
      </w:r>
    </w:p>
    <w:p>
      <w:r>
        <w:t xml:space="preserve">"Глава 2. Порядок осуществления операторами связи сбора и хранения служебной информации об абонентах и (или) пользователях услуг связи";</w:t>
      </w:r>
    </w:p>
    <w:p>
      <w:r>
        <w:t xml:space="preserve">пункты 4 , 5 и 6 изложить в следующей редакций:</w:t>
      </w:r>
    </w:p>
    <w:p>
      <w:r>
        <w:t xml:space="preserve">"4. Оператор обеспечивает сбор и хранение служебной информации об абонентах и (или) пользователях услуг связи в течение двух лет, по истечении которых информация уничтожается. Оператор несет ответственность, предусмотренную статьей 637 Кодекса Республики Казахстан "Об административных правонарушениях", за нарушение обязанности по сбору и хранению служебной информации об абонентах и (или) пользователях услуг связи.</w:t>
      </w:r>
    </w:p>
    <w:p>
      <w:pPr>
        <w:pStyle w:val="Heading2"/>
      </w:pPr>
      <w:r>
        <w:t xml:space="preserve">Пункт 5</w:t>
      </w:r>
    </w:p>
    <w:p>
      <w:r>
        <w:t xml:space="preserve">5. Оператор осуществляет постоянный сбор служебной информации о предоставленных абоненту и (или) пользователю услугах связи со средств телекоммуникаций (средств связи) в соответствии с настоящими Правилами и обеспечивает ее хранение в системе Оператора (далее – Система).</w:t>
      </w:r>
    </w:p>
    <w:p>
      <w:pPr>
        <w:pStyle w:val="Heading2"/>
      </w:pPr>
      <w:r>
        <w:t xml:space="preserve">Пункт 6</w:t>
      </w:r>
    </w:p>
    <w:p>
      <w:r>
        <w:t xml:space="preserve">6. Хранение служебной информации об абонентах и (или) пользователях услуг связи осуществляется исключительно на территории Республики Казахстан. Запрещается передача служебной информации об абонентах и (или) пользователях услуг связи за пределы Республики Казахстан, за исключением случаев оказания услуг связи абонентам Республики Казахстан, находящимся за рубежом.";</w:t>
      </w:r>
    </w:p>
    <w:p>
      <w:r>
        <w:t xml:space="preserve">пункты 10 изложить в следующей редакций:</w:t>
      </w:r>
    </w:p>
    <w:p>
      <w:r>
        <w:t xml:space="preserve">"10. Служебная информация об абоненте и (или) пользователе услуг связи накапливается в Системе на оборудовании хранения информации.</w:t>
      </w:r>
    </w:p>
    <w:p>
      <w:r>
        <w:t xml:space="preserve">Система обеспечивает:</w:t>
      </w:r>
    </w:p>
    <w:p>
      <w:pPr>
        <w:pStyle w:val="Heading2"/>
      </w:pPr>
      <w:r>
        <w:t xml:space="preserve">Подпункт 1</w:t>
      </w:r>
    </w:p>
    <w:p>
      <w:r>
        <w:t xml:space="preserve">1) хранение информации об абонентах и (или) пользователях услуг связи и информации об оказанных абоненту услугах:</w:t>
      </w:r>
    </w:p>
    <w:p>
      <w:r>
        <w:t xml:space="preserve">для юридических лиц – бизнес-идентификационный номер, адрес для доставки счетов;</w:t>
      </w:r>
    </w:p>
    <w:p>
      <w:r>
        <w:t xml:space="preserve">для физических лиц – фамилия, имя и отчество (если оно указано в документе, удостоверяющем личность), местожительство, номер и дата выдачи документа, удостоверяющего личность, индивидуальный идентификационный номер, адреса электронной почты, почтовый адрес;</w:t>
      </w:r>
    </w:p>
    <w:p>
      <w:r>
        <w:t xml:space="preserve">номера контактных телефонов; адрес установки абонентского оборудования; дата заключения и прекращения действия договора; перечень услуг связи, доступных абоненту; абонентский номер;</w:t>
      </w:r>
    </w:p>
    <w:p>
      <w:r>
        <w:t xml:space="preserve">биллинг – аппаратно-программный комплекс, предназначенный для автоматического выполнения операций учета услуг, предоставляемых абонентам, а также их тарификации и выставления счетов для оплаты;</w:t>
      </w:r>
    </w:p>
    <w:p>
      <w:r>
        <w:t xml:space="preserve">биллинговые сведения – информация по личному счету абонента, информация о пополнении счета, адреса абонентов в сети передачи данных;</w:t>
      </w:r>
    </w:p>
    <w:p>
      <w:r>
        <w:t xml:space="preserve">адреса абонентов в сети передачи данных и адреса обращения к интернет-ресурсам в сети передачи данных, протоколы сети передачи данных по каждой предоставляемой услуге доступа в сеть интернет, включая: дату и время регистрации абонента в сети с учетом временных поясов согласно положениям статьи 36-2 Закона Республики Казахстан "О связи"; динамический или статический IP-адрес, выделенный для данной сессии; точку выхода в сеть; абонентский номер и идентификационный код абонентского устройства сотовой связи, с которого был осуществлен выход в сеть; объем переданной и принятой информации в течение данной сессии; период времени, в течение которого предоставлялась каждая из услуг; использованный пользователем вид связи, адреса переданного или полученного электронного сообщения, адреса электронной почты почтового сообщения, идентификатор интернет-ресурса, дата и время начала и окончания изменений данных на интернет-ресурсе с учетом временных поясов, а также IP-адрес, с которого происходило изменение;</w:t>
      </w:r>
    </w:p>
    <w:p>
      <w:pPr>
        <w:pStyle w:val="Heading2"/>
      </w:pPr>
      <w:r>
        <w:t xml:space="preserve">Подпункт 2</w:t>
      </w:r>
    </w:p>
    <w:p>
      <w:r>
        <w:t xml:space="preserve">2) единый формат хранения;</w:t>
      </w:r>
    </w:p>
    <w:p>
      <w:pPr>
        <w:pStyle w:val="Heading2"/>
      </w:pPr>
      <w:r>
        <w:t xml:space="preserve">Подпункт 3</w:t>
      </w:r>
    </w:p>
    <w:p>
      <w:r>
        <w:t xml:space="preserve">3) привязку данных ко времени;</w:t>
      </w:r>
    </w:p>
    <w:p>
      <w:pPr>
        <w:pStyle w:val="Heading2"/>
      </w:pPr>
      <w:r>
        <w:t xml:space="preserve">Подпункт 4</w:t>
      </w:r>
    </w:p>
    <w:p>
      <w:r>
        <w:t xml:space="preserve">4) неизменность данных;</w:t>
      </w:r>
    </w:p>
    <w:p>
      <w:pPr>
        <w:pStyle w:val="Heading2"/>
      </w:pPr>
      <w:r>
        <w:t xml:space="preserve">Подпункт 5</w:t>
      </w:r>
    </w:p>
    <w:p>
      <w:r>
        <w:t xml:space="preserve">5) полноту и достоверность хранимых данных;</w:t>
      </w:r>
    </w:p>
    <w:p>
      <w:pPr>
        <w:pStyle w:val="Heading2"/>
      </w:pPr>
      <w:r>
        <w:t xml:space="preserve">Подпункт 6</w:t>
      </w:r>
    </w:p>
    <w:p>
      <w:r>
        <w:t xml:space="preserve">6) возможность интеграции со средствами оперативно-розыскных мероприятий на сетях телекоммуникаций;</w:t>
      </w:r>
    </w:p>
    <w:p>
      <w:pPr>
        <w:pStyle w:val="Heading2"/>
      </w:pPr>
      <w:r>
        <w:t xml:space="preserve">Подпункт 7</w:t>
      </w:r>
    </w:p>
    <w:p>
      <w:r>
        <w:t xml:space="preserve">7) автоматизированный доступ, обеспечивающий прием различных видов запросов о пользователях услуг связи и оказанных им услугах связи, выдача информации и системных отчетов по заданным параметрам;</w:t>
      </w:r>
    </w:p>
    <w:p>
      <w:pPr>
        <w:pStyle w:val="Heading2"/>
      </w:pPr>
      <w:r>
        <w:t xml:space="preserve">Подпункт 8</w:t>
      </w:r>
    </w:p>
    <w:p>
      <w:r>
        <w:t xml:space="preserve">8) защиту от несанкционированного доступа к данным Системы с помощью программных и технических средств авторизации.".</w:t>
      </w:r>
    </w:p>
    <w:p>
      <w:pPr>
        <w:pStyle w:val="Heading2"/>
      </w:pPr>
      <w:r>
        <w:t xml:space="preserve">Пункт 2</w:t>
      </w:r>
    </w:p>
    <w:p>
      <w:r>
        <w:t xml:space="preserve">2. Комитету телекоммуникаций Министерства цифрового развития, инноваций и аэрокосмической промышленности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цифрового развития, инноваций и аэрокосмической промышленности Республики Казахстан | Б. Мусин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 Комитет национальной безопасности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