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совместный приказ Министра здравоохранения и социального развития Республики Казахстан от 25 декабря 2015 года № 1022 и Министра национальной экономики Республики Казахстан от 28 декабря 2015 года № 801 "Об утверждении Критериев оценки степени риска и проверочных листов за соблюдением трудового законодательства Республики Казахстан"</w:t>
      </w:r>
    </w:p>
    <w:p>
      <w:r>
        <w:t xml:space="preserve">Приказ, Изменения. Министерство труда и социальной защиты населения Республики Казахстан (Образован Указом Президента РК от 25.01.2017 г. № 412; старое название: Министерство здравоохранения и социального развития РК), Министерство национальной экономики Республики Казахстан (Образован Указом Президента РК от 06.08.2014 г. № 875). от 02.05.2023. № 180785. редакция от 02.05.2023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здравоохранения и социального развития Республики Казахстан от 25 декабря 2015 года № 1022 и Министра национальной экономики Республики Казахстан от 28 декабря 2015 года № 801 "Об утверждении Критериев оценки степени риска и проверочных листов за соблюдением трудового законодательства Республики Казахстан" (зарегистрирован в Реестре государственной регистрации нормативных правовых актов за № 12656) следующие изменение:</w:t>
      </w:r>
    </w:p>
    <w:p>
      <w:r>
        <w:t xml:space="preserve">критерии оценки степени риска за соблюдением трудового законодательства Республики Казахстан, утвержденные указанным совместным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труда и социальной защиты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представить в Департамент юридической службы Министерства труда и социальной защиты населения Республики Казахстан сведения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труда и социальной защиты населения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национальной экономики Республики Казахстан | __________ А. Куантыров |</w:t>
      </w:r>
    </w:p>
    <w:p>
      <w:r>
        <w:t xml:space="preserve">|---|---|</w:t>
      </w:r>
    </w:p>
    <w:p>
      <w:r>
        <w:t xml:space="preserve">| исполняющий обязанности Министра труда и социальной защиты населения Республики Казахстан | __________ А. Сарбасов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к совместному приказу |</w:t>
      </w:r>
    </w:p>
    <w:p>
      <w:r>
        <w:t xml:space="preserve">|---|---|</w:t>
      </w:r>
    </w:p>
    <w:p>
      <w:r>
        <w:t xml:space="preserve">|  | Приложение 1 к совместному приказу Министра здравоохранения и социального развития Республики Казахстан от 25 декабря 2015 года № 1021 и Министра национальной экономики Республики Казахстан от 28 декабря 2015 года № 807 |</w:t>
      </w:r>
    </w:p>
    <w:p>
      <w:pPr>
        <w:pStyle w:val="Heading2"/>
      </w:pPr>
      <w:r>
        <w:t xml:space="preserve">Глава Критерии оценки степени риска за соблюдением трудового законодательства Республики Казахстан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Критерии оценки степени риска за соблюдением трудового законодательства Республики Казахстан (далее – Критерии) разработаны в соответствии с Трудовым кодексом Республики Казахстан, Предпринимательским кодексом Республики Казахстан, приказом исполняющего обязанности Министра национальной экономики Республики Казахстан от 31 июля 2018 года № 3 "Об утверждении формы проверочного листа" (зарегистрирован в Реестре государственной регистрации нормативных правовых актов за № 17371) и Правил формирования регулирующими государственными органами системы оценки и управления рисками, утвержденными приказом исполняющего обязанности Министра национальной экономики Республики Казахстан от 22 июня 2022 года № 48 (зарегистрирован в Реестре государственной регистрации нормативных правовых актов за № 28577), для отбора субъектов контроля при проведении профилактического контроля с посещением субъекта контроля.</w:t>
      </w:r>
    </w:p>
    <w:p>
      <w:pPr>
        <w:pStyle w:val="Heading2"/>
      </w:pPr>
      <w:r>
        <w:t xml:space="preserve">Пункт 2</w:t>
      </w:r>
    </w:p>
    <w:p>
      <w:r>
        <w:t xml:space="preserve">2. В настоящих Критериях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субъекты контроля – физические лица, юридические лица, в том числе государственные органы, филиалы и представительства юридических лиц, за деятельностью которых осуществляется контроль;</w:t>
      </w:r>
    </w:p>
    <w:p>
      <w:pPr>
        <w:pStyle w:val="Heading2"/>
      </w:pPr>
      <w:r>
        <w:t xml:space="preserve">Подпункт 2</w:t>
      </w:r>
    </w:p>
    <w:p>
      <w:r>
        <w:t xml:space="preserve">2) балл – количественная мера исчисления риска;</w:t>
      </w:r>
    </w:p>
    <w:p>
      <w:pPr>
        <w:pStyle w:val="Heading2"/>
      </w:pPr>
      <w:r>
        <w:t xml:space="preserve">Подпункт 3</w:t>
      </w:r>
    </w:p>
    <w:p>
      <w:r>
        <w:t xml:space="preserve">3) незначительные нарушения – нарушения трудового законодательства в части законности принятых актов работодателя, касающихся трудовых отношений, осуществления гарантий и компенсационных выплат, а также нарушения законодательства о занятости населения и привлечении иностранной рабочей силы;</w:t>
      </w:r>
    </w:p>
    <w:p>
      <w:pPr>
        <w:pStyle w:val="Heading2"/>
      </w:pPr>
      <w:r>
        <w:t xml:space="preserve">Подпункт 4</w:t>
      </w:r>
    </w:p>
    <w:p>
      <w:r>
        <w:t xml:space="preserve">4) нормализация данных – статистическая процедура, предусматривающая приведение значений, измеренных в различных шкалах, к условно общей шкале;</w:t>
      </w:r>
    </w:p>
    <w:p>
      <w:pPr>
        <w:pStyle w:val="Heading2"/>
      </w:pPr>
      <w:r>
        <w:t xml:space="preserve">Подпункт 5</w:t>
      </w:r>
    </w:p>
    <w:p>
      <w:r>
        <w:t xml:space="preserve">5) значительные нарушения – нарушения трудового законодательства, не относящиеся к грубым и незначительным нарушениям в соответствии с подпунктами 3) и 6) настоящего пункта;</w:t>
      </w:r>
    </w:p>
    <w:p>
      <w:pPr>
        <w:pStyle w:val="Heading2"/>
      </w:pPr>
      <w:r>
        <w:t xml:space="preserve">Подпункт 6</w:t>
      </w:r>
    </w:p>
    <w:p>
      <w:r>
        <w:t xml:space="preserve">6) грубые нарушения – нарушения трудового законодательства, указанные в степени нарушений требований за соблюдением трудового законодательства Республики Казахстан согласно приложению 1 к настоящим Критериям;</w:t>
      </w:r>
    </w:p>
    <w:p>
      <w:pPr>
        <w:pStyle w:val="Heading2"/>
      </w:pPr>
      <w:r>
        <w:t xml:space="preserve">Подпункт 7</w:t>
      </w:r>
    </w:p>
    <w:p>
      <w:r>
        <w:t xml:space="preserve">7) риск – вероятность причинения вреда в результате деятельности субъекта контроля жизни или здоровью человека, законным интересам физических и юридических лиц, имущественным интересам государства с учетом степени тяжести его последствий;</w:t>
      </w:r>
    </w:p>
    <w:p>
      <w:pPr>
        <w:pStyle w:val="Heading2"/>
      </w:pPr>
      <w:r>
        <w:t xml:space="preserve">Подпункт 8</w:t>
      </w:r>
    </w:p>
    <w:p>
      <w:r>
        <w:t xml:space="preserve">8) объективные критерии оценки степени риска (далее – объективные критерии) – критерии оценки степени риска, используемые для отбора субъектов контроля в зависимости от степени риска в определенной сфере деятельности и не зависящие непосредственно от отдельного субъекта контроля;</w:t>
      </w:r>
    </w:p>
    <w:p>
      <w:pPr>
        <w:pStyle w:val="Heading2"/>
      </w:pPr>
      <w:r>
        <w:t xml:space="preserve">Подпункт 9</w:t>
      </w:r>
    </w:p>
    <w:p>
      <w:r>
        <w:t xml:space="preserve">9) субъективные критерии оценки степени риска (далее – субъективные критерии) – критерии оценки степени риска, используемые для отбора субъектов контроля в зависимости от результатов деятельности конкретного субъекта контроля;</w:t>
      </w:r>
    </w:p>
    <w:p>
      <w:pPr>
        <w:pStyle w:val="Heading2"/>
      </w:pPr>
      <w:r>
        <w:t xml:space="preserve">Подпункт 10</w:t>
      </w:r>
    </w:p>
    <w:p>
      <w:r>
        <w:t xml:space="preserve">10)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контроля по степеням риска для последующего осуществления профилактического контроля с посещением субъекта контроля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контроля и (или) освобождения такого субъекта контроля от профилактического контроля с посещением субъекта контроля;</w:t>
      </w:r>
    </w:p>
    <w:p>
      <w:pPr>
        <w:pStyle w:val="Heading2"/>
      </w:pPr>
      <w:r>
        <w:t xml:space="preserve">Подпункт 11</w:t>
      </w:r>
    </w:p>
    <w:p>
      <w:r>
        <w:t xml:space="preserve">11) проверочный лист – перечень требований, предъявляемых к деятельности субъектов (объектов) контроля, несоблюдение которых влечет за собой угрозу жизни и здоровью человека, законным интересам физических и юридических лиц, государства;</w:t>
      </w:r>
    </w:p>
    <w:p>
      <w:pPr>
        <w:pStyle w:val="Heading2"/>
      </w:pPr>
      <w:r>
        <w:t xml:space="preserve">Подпункт 12</w:t>
      </w:r>
    </w:p>
    <w:p>
      <w:r>
        <w:t xml:space="preserve">12) выборочная совокупность (выборка) – перечень оцениваемых субъектов (объектов), относимых к однородной группе субъектов (объектов) контроля в сфере государственного контроля за соблюдением трудового законодательства Республики Казахстан и законодательства Республики Казахстан о занятости населения.</w:t>
      </w:r>
    </w:p>
    <w:p>
      <w:pPr>
        <w:pStyle w:val="Heading2"/>
      </w:pPr>
      <w:r>
        <w:t xml:space="preserve">Глава 2 Порядок формирования системы оценки и управления рисками при проведении профилактического контроля субъектов (объектов) контроля</w:t>
      </w:r>
    </w:p>
    <w:p>
      <w:pPr>
        <w:pStyle w:val="Heading2"/>
      </w:pPr>
      <w:r>
        <w:t xml:space="preserve">Пункт 3</w:t>
      </w:r>
    </w:p>
    <w:p>
      <w:r>
        <w:t xml:space="preserve">3. Для целей управления рисками при осуществлении профилактического контроля с посещением субъекта (объекта) контроля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критериев, которые осуществляются поэтапно (Мультикритериальный анализ решений).</w:t>
      </w:r>
    </w:p>
    <w:p>
      <w:r>
        <w:t xml:space="preserve">На первом этапе местные органы по инспекции труда по объективным критериям относят субъекты (объекты) контроля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Для сфер деятельности субъектов (объектов) контроля, отнесенных к высокой и средней степени риска по объективным критериям, проводятся профилактический контроль с посещением субъекта (объекта) контроля и внеплановая проверка.</w:t>
      </w:r>
    </w:p>
    <w:p>
      <w:r>
        <w:t xml:space="preserve">Для сфер деятельности субъектов (объектов) контроля, отнесенных к низкой степени риска по объективным критериям, проводится внеплановая проверка.</w:t>
      </w:r>
    </w:p>
    <w:p>
      <w:r>
        <w:t xml:space="preserve">На втором этапе местные органы по инспекции труда по субъективным критериям относят субъекты (объекты) контроля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По показателям степени риска по субъективным критериям субъект (объект) контроля относится: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– при показателе степени риска от 71 до 100 включительно;</w:t>
      </w:r>
    </w:p>
    <w:p>
      <w:pPr>
        <w:pStyle w:val="Heading2"/>
      </w:pPr>
      <w:r>
        <w:t xml:space="preserve">Подпункт 2</w:t>
      </w:r>
    </w:p>
    <w:p>
      <w:r>
        <w:t xml:space="preserve">2) к средней степени риска – при показателе степени риска от 31 до 70 включительно;</w:t>
      </w:r>
    </w:p>
    <w:p>
      <w:pPr>
        <w:pStyle w:val="Heading2"/>
      </w:pPr>
      <w:r>
        <w:t xml:space="preserve">Подпункт 3</w:t>
      </w:r>
    </w:p>
    <w:p>
      <w:r>
        <w:t xml:space="preserve">3) к низкой степени риска – при показателе степени риска от 0 до 30 включительно.</w:t>
      </w:r>
    </w:p>
    <w:p>
      <w:pPr>
        <w:pStyle w:val="Heading2"/>
      </w:pPr>
      <w:r>
        <w:t xml:space="preserve">Пункт 4</w:t>
      </w:r>
    </w:p>
    <w:p>
      <w:r>
        <w:t xml:space="preserve">4. В зависимости от возможного риска и значимости проблемы, единичности или системности нарушения, анализа принятых ранее решений по каждому источнику информации требования, предъявляемые к деятельности субъектов (объектов) контроля, соответствуют степени нарушения – грубое, значительное и незначительное.</w:t>
      </w:r>
    </w:p>
    <w:p>
      <w:r>
        <w:t xml:space="preserve">Степень нарушения (грубое, значительное, незначительное) присваивается в соответствии с установленными определениями грубых, значительных, незначительных нарушений по субъективным критериям.</w:t>
      </w:r>
    </w:p>
    <w:p>
      <w:pPr>
        <w:pStyle w:val="Heading2"/>
      </w:pPr>
      <w:r>
        <w:t xml:space="preserve">Пункт 5</w:t>
      </w:r>
    </w:p>
    <w:p>
      <w:r>
        <w:t xml:space="preserve">5.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p>
      <w:pPr>
        <w:pStyle w:val="Heading2"/>
      </w:pPr>
      <w:r>
        <w:t xml:space="preserve">Пункт 6</w:t>
      </w:r>
    </w:p>
    <w:p>
      <w:r>
        <w:t xml:space="preserve">6. Кратность профилактического контроля с посещением субъекта (объекта) контроля определяется органами контроля в отношении субъектов (объектов) контроля, отнесенных к высокой и средней степеням риска, не чаще двух раз в год.</w:t>
      </w:r>
    </w:p>
    <w:p>
      <w:pPr>
        <w:pStyle w:val="Heading2"/>
      </w:pPr>
      <w:r>
        <w:t xml:space="preserve">Пункт 7</w:t>
      </w:r>
    </w:p>
    <w:p>
      <w:r>
        <w:t xml:space="preserve">7. Профилактический контроль с посещением субъекта контроля проводится на основании полугодовых списков профилактического контроля с посещением субъекта контроля.</w:t>
      </w:r>
    </w:p>
    <w:p>
      <w:pPr>
        <w:pStyle w:val="Heading2"/>
      </w:pPr>
      <w:r>
        <w:t xml:space="preserve">Пункт 8</w:t>
      </w:r>
    </w:p>
    <w:p>
      <w:r>
        <w:t xml:space="preserve">8. Учетным периодом для определения указанных критериев является год, предшествующий году проведения профилактического контроля с посещением субъекта контроля.</w:t>
      </w:r>
    </w:p>
    <w:p>
      <w:pPr>
        <w:pStyle w:val="Heading2"/>
      </w:pPr>
      <w:r>
        <w:t xml:space="preserve">Параграф 1 Объективные критерии</w:t>
      </w:r>
    </w:p>
    <w:p>
      <w:pPr>
        <w:pStyle w:val="Heading2"/>
      </w:pPr>
      <w:r>
        <w:t xml:space="preserve">Пункт 9</w:t>
      </w:r>
    </w:p>
    <w:p>
      <w:r>
        <w:t xml:space="preserve">9. После проведения анализа возможных рисков, проведенного в соответствии с пунктами 10, 11 и 12 настоящих Критериев, субъекты (объекты) контроля распределяются по трем степеням риска по объективным критериям (высокая, средняя и низкая).</w:t>
      </w:r>
    </w:p>
    <w:p>
      <w:pPr>
        <w:pStyle w:val="Heading2"/>
      </w:pPr>
      <w:r>
        <w:t xml:space="preserve">Пункт 10</w:t>
      </w:r>
    </w:p>
    <w:p>
      <w:r>
        <w:t xml:space="preserve">10. По объективным критериям к высокой степени риска относятся субъекты контроля, осуществляющие деятельность в следующих видах экономической деятельности, с высокой вероятностью причинения вреда жизни или здоровью человека, законным интересам физических лиц:</w:t>
      </w:r>
    </w:p>
    <w:p>
      <w:r>
        <w:t xml:space="preserve">горнодобывающая промышленность и разработка карьеров;</w:t>
      </w:r>
    </w:p>
    <w:p>
      <w:r>
        <w:t xml:space="preserve">электроснабжение, подача газа, пара и воздушное кондиционирование;</w:t>
      </w:r>
    </w:p>
    <w:p>
      <w:r>
        <w:t xml:space="preserve">обрабатывающая промышленность;</w:t>
      </w:r>
    </w:p>
    <w:p>
      <w:r>
        <w:t xml:space="preserve">строительство;</w:t>
      </w:r>
    </w:p>
    <w:p>
      <w:r>
        <w:t xml:space="preserve">транспорт и складирование;</w:t>
      </w:r>
    </w:p>
    <w:p>
      <w:r>
        <w:t xml:space="preserve">водоснабжение, канализационная система, сбор и распределение отходов;</w:t>
      </w:r>
    </w:p>
    <w:p>
      <w:r>
        <w:t xml:space="preserve">информация и связь;</w:t>
      </w:r>
    </w:p>
    <w:p>
      <w:r>
        <w:t xml:space="preserve">сельское, лесное и рыбное хозяйство.</w:t>
      </w:r>
    </w:p>
    <w:p>
      <w:r>
        <w:t xml:space="preserve">Также по объективным критериям к высокой степени риска относятся субъекты контроля, привлекающие иностранную рабочую силу свыше 30 человек согласно отчетным данным автоматизированной информационной системы "Иностранная рабочая сила" Министерства труда и социальной защиты населения Республики Казахстан.</w:t>
      </w:r>
    </w:p>
    <w:p>
      <w:pPr>
        <w:pStyle w:val="Heading2"/>
      </w:pPr>
      <w:r>
        <w:t xml:space="preserve">Пункт 11</w:t>
      </w:r>
    </w:p>
    <w:p>
      <w:r>
        <w:t xml:space="preserve">11. По объективным критериям к средней степени риска относятся субъекты контроля, осуществляющие деятельность в сфере здравоохранения, образования, культуры, спорта, социального обеспечения, торговли, предоставлению услуг по проживанию и питанию.</w:t>
      </w:r>
    </w:p>
    <w:p>
      <w:pPr>
        <w:pStyle w:val="Heading2"/>
      </w:pPr>
      <w:r>
        <w:t xml:space="preserve">Пункт 12</w:t>
      </w:r>
    </w:p>
    <w:p>
      <w:r>
        <w:t xml:space="preserve">12. По объективным критериям к низкой степени риска относятся субъекты контроля непроизводственной сферы, работники которых осуществляют трудовую деятельность в офисных помещениях.</w:t>
      </w:r>
    </w:p>
    <w:p>
      <w:pPr>
        <w:pStyle w:val="Heading2"/>
      </w:pPr>
      <w:r>
        <w:t xml:space="preserve">Параграф 2 Субъективные критерии</w:t>
      </w:r>
    </w:p>
    <w:p>
      <w:pPr>
        <w:pStyle w:val="Heading2"/>
      </w:pPr>
      <w:r>
        <w:t xml:space="preserve">Пункт 13</w:t>
      </w:r>
    </w:p>
    <w:p>
      <w:r>
        <w:t xml:space="preserve">13. Определение субъективных критериев осуществляется с применением следующих этапов: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базы данных и сбор информации;</w:t>
      </w:r>
    </w:p>
    <w:p>
      <w:pPr>
        <w:pStyle w:val="Heading2"/>
      </w:pPr>
      <w:r>
        <w:t xml:space="preserve">Подпункт 2</w:t>
      </w:r>
    </w:p>
    <w:p>
      <w:r>
        <w:t xml:space="preserve">2) анализ информации и оценка рисков.</w:t>
      </w:r>
    </w:p>
    <w:p>
      <w:pPr>
        <w:pStyle w:val="Heading2"/>
      </w:pPr>
      <w:r>
        <w:t xml:space="preserve">Пункт 14</w:t>
      </w:r>
    </w:p>
    <w:p>
      <w:r>
        <w:t xml:space="preserve">14. Формирование базы данных и сбор информации необходимы для выявления субъектов (объектов) контроля.</w:t>
      </w:r>
    </w:p>
    <w:p>
      <w:pPr>
        <w:pStyle w:val="Heading2"/>
      </w:pPr>
      <w:r>
        <w:t xml:space="preserve">Пункт 15</w:t>
      </w:r>
    </w:p>
    <w:p>
      <w:r>
        <w:t xml:space="preserve">15. Для оценки степени риска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мониторинга отчетности и сведений, представляемых субъектом контроля;</w:t>
      </w:r>
    </w:p>
    <w:p>
      <w:pPr>
        <w:pStyle w:val="Heading2"/>
      </w:pPr>
      <w:r>
        <w:t xml:space="preserve">Подпункт 2</w:t>
      </w:r>
    </w:p>
    <w:p>
      <w:r>
        <w:t xml:space="preserve">2) результаты предыдущих проверок и профилактического контроля с посещением субъектов (объектов) контроля.</w:t>
      </w:r>
    </w:p>
    <w:p>
      <w:pPr>
        <w:pStyle w:val="Heading2"/>
      </w:pPr>
      <w:r>
        <w:t xml:space="preserve">Пункт 16</w:t>
      </w:r>
    </w:p>
    <w:p>
      <w:r>
        <w:t xml:space="preserve">16. На основании имеющихся источников информации местные органы по инспекции труда формируют данные по субъективным критериям, подлежащие анализу и оценке.</w:t>
      </w:r>
    </w:p>
    <w:p>
      <w:r>
        <w:t xml:space="preserve">Анализ и оценка субъективных критериев позволяет сконцентрировать проведение профилактического контроля субъекта (объекта) контроля в отношении субъекта (объекта) контроля с наибольшим потенциальным риском.</w:t>
      </w:r>
    </w:p>
    <w:p>
      <w:r>
        <w:t xml:space="preserve">При этом 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законодательством Республики Казахстан.</w:t>
      </w:r>
    </w:p>
    <w:p>
      <w:pPr>
        <w:pStyle w:val="Heading2"/>
      </w:pPr>
      <w:r>
        <w:t xml:space="preserve">Пункт 17</w:t>
      </w:r>
    </w:p>
    <w:p>
      <w:r>
        <w:t xml:space="preserve">17. 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посещением, не допускается включение их при формировании списков на очередной период государственного контроля.</w:t>
      </w:r>
    </w:p>
    <w:p>
      <w:pPr>
        <w:pStyle w:val="Heading2"/>
      </w:pPr>
      <w:r>
        <w:t xml:space="preserve">Пункт 18</w:t>
      </w:r>
    </w:p>
    <w:p>
      <w:r>
        <w:t xml:space="preserve">18. Исходя из приоритетности применяемых источников информации и значимости показателей субъективных критериев, в соответствии с порядком расчета показателя степени риска по субъективным критериям, определенным в главе 3 настоящих Критериев, рассчитывается показатель степени риска по субъективным критериям по шкале от 0 до 100 баллов по форме согласно приложению 2 к настоящим Критериям.</w:t>
      </w:r>
    </w:p>
    <w:p>
      <w:pPr>
        <w:pStyle w:val="Heading2"/>
      </w:pPr>
      <w:r>
        <w:t xml:space="preserve">Параграф 3 Управлениями рисками</w:t>
      </w:r>
    </w:p>
    <w:p>
      <w:pPr>
        <w:pStyle w:val="Heading2"/>
      </w:pPr>
      <w:r>
        <w:t xml:space="preserve">Пункт 19</w:t>
      </w:r>
    </w:p>
    <w:p>
      <w:r>
        <w:t xml:space="preserve">19. Субъекты (объекты) контроля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если такие субъекты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(объекта) контроля;</w:t>
      </w:r>
    </w:p>
    <w:p>
      <w:pPr>
        <w:pStyle w:val="Heading2"/>
      </w:pPr>
      <w:r>
        <w:t xml:space="preserve">Подпункт 3</w:t>
      </w:r>
    </w:p>
    <w:p>
      <w:r>
        <w:t xml:space="preserve">3) если субъекты являются членами саморегулируемой организации, основанной на добровольном членстве (участии) в соответствии с Законом Республики Казахстан "О саморегулировании", с которой заключено соглашение о признании результатов деятельности саморегулируемой организации.</w:t>
      </w:r>
    </w:p>
    <w:p>
      <w:pPr>
        <w:pStyle w:val="Heading2"/>
      </w:pPr>
      <w:r>
        <w:t xml:space="preserve">Пункт 20</w:t>
      </w:r>
    </w:p>
    <w:p>
      <w:r>
        <w:t xml:space="preserve">20. В целях освобождения от профилактического контроля с посещением субъекта (объекта) контроля учитываются смягчающие индикаторы.</w:t>
      </w:r>
    </w:p>
    <w:p>
      <w:r>
        <w:t xml:space="preserve">К смягчающему индикатору относится наличие у субъекта контроля, выдаваемого в соответствии с Трудовым кодексом Республики Казахстан сертификата доверия, подтверждающего, что деятельность работодателя соответствует требованиям трудового законодательства Республики Казахстан.</w:t>
      </w:r>
    </w:p>
    <w:p>
      <w:pPr>
        <w:pStyle w:val="Heading2"/>
      </w:pPr>
      <w:r>
        <w:t xml:space="preserve">Параграф 4 Особенности формирования системы оценки и управления рисками использующих информационные системы с учетом специфики и конфиденциальности, в соответствии с законодательными актами Республики Казахстан</w:t>
      </w:r>
    </w:p>
    <w:p>
      <w:pPr>
        <w:pStyle w:val="Heading2"/>
      </w:pPr>
      <w:r>
        <w:t xml:space="preserve">Пункт 21</w:t>
      </w:r>
    </w:p>
    <w:p>
      <w:r>
        <w:t xml:space="preserve">21. Система оценки и управления рисками ведется с использованием информационных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p>
      <w:r>
        <w:t xml:space="preserve">При отсутствии информационной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 не должен превышать пяти процентов от общего количества таких субъектов контроля.</w:t>
      </w:r>
    </w:p>
    <w:p>
      <w:pPr>
        <w:pStyle w:val="Heading2"/>
      </w:pPr>
      <w:r>
        <w:t xml:space="preserve">Глава 3 Порядок расчета степени риска по субъективным критериям</w:t>
      </w:r>
    </w:p>
    <w:p>
      <w:pPr>
        <w:pStyle w:val="Heading2"/>
      </w:pPr>
      <w:r>
        <w:t xml:space="preserve">Пункт 22</w:t>
      </w:r>
    </w:p>
    <w:p>
      <w:r>
        <w:t xml:space="preserve">22. Для отнесения субъекта контроля к степени риска в соответствии с пунктом 3 настоящих Критериев применяется следующий порядок расчета показателя степени риска.</w:t>
      </w:r>
    </w:p>
    <w:p>
      <w:r>
        <w:t xml:space="preserve">Местный орган по инспекции труда собирает информацию и формирует базу данных по субъективным критериям из источников согласно пункту 15 настоящих Критериев.</w:t>
      </w:r>
    </w:p>
    <w:p>
      <w:r>
        <w:t xml:space="preserve">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критериям, определенным в соответствии с пунктом 18 настоящих Критериев (SC), с последующей нормализацией значений данных в диапазон от 0 до 100 баллов.</w:t>
      </w:r>
    </w:p>
    <w:p>
      <w:r>
        <w:t xml:space="preserve">R пром = SP + SC, где</w:t>
      </w:r>
    </w:p>
    <w:p>
      <w:r>
        <w:t xml:space="preserve">R пром – промежуточный показатель степени риска по субъективным критериям,</w:t>
      </w:r>
    </w:p>
    <w:p>
      <w:r>
        <w:t xml:space="preserve">SР – показатель степени риска по нарушениям,</w:t>
      </w:r>
    </w:p>
    <w:p>
      <w:r>
        <w:t xml:space="preserve">SC – показатель степени риска по субъективным критериям, определенным в соответствии с пунктом 18 настоящих Критериев.</w:t>
      </w:r>
    </w:p>
    <w:p>
      <w:r>
        <w:t xml:space="preserve">Расчет производится по каждому субъекту (объекту) контроля однородной группы субъектов (объектов) контроля каждой сферы государственного контроля. При этом перечень оцениваемых субъектов (объектов) контроля, относимых к 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p>
      <w:pPr>
        <w:pStyle w:val="Heading2"/>
      </w:pPr>
      <w:r>
        <w:t xml:space="preserve">Пункт 23</w:t>
      </w:r>
    </w:p>
    <w:p>
      <w:r>
        <w:t xml:space="preserve">23. По данным, полученным по результатам предыдущих проверок и профилактического контроля с посещением субъектов (объектов) контроля, формируется показатель степени риска по нарушениям, оцениваемый в баллах от 0 до 100.</w:t>
      </w:r>
    </w:p>
    <w:p>
      <w:r>
        <w:t xml:space="preserve">При выявлении одного грубого нарушения по любому из источников информации, указанных в пункте 15 настоящих Критериев, субъекту контроля приравнивается показатель степени риска 100 баллов и в отношении него проводится профилактический контроль с посещением субъекта (объекта) контроля.</w:t>
      </w:r>
    </w:p>
    <w:p>
      <w:r>
        <w:t xml:space="preserve">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степени.</w:t>
      </w:r>
    </w:p>
    <w:p>
      <w:r>
        <w:t xml:space="preserve">При определении показателя значительных нарушений применяется коэффициент 0,7.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 з = (SР 2 х 100/SР 1 ) х 0,7, где:</w:t>
      </w:r>
    </w:p>
    <w:p>
      <w:r>
        <w:t xml:space="preserve">SР з – показатель значительных нарушений;</w:t>
      </w:r>
    </w:p>
    <w:p>
      <w:r>
        <w:t xml:space="preserve">SР 1 – требуемое количество значительных нарушений;</w:t>
      </w:r>
    </w:p>
    <w:p>
      <w:r>
        <w:t xml:space="preserve">SР 2 – количество выявленных значительных нарушений;</w:t>
      </w:r>
    </w:p>
    <w:p>
      <w:r>
        <w:t xml:space="preserve">При определении показателя незначительных нарушений применяется коэффициент 0,3.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SРн = (SР2 х 100/SР1) х 0,3, где:</w:t>
      </w:r>
    </w:p>
    <w:p>
      <w:r>
        <w:t xml:space="preserve">SРн – показатель незначительных нарушений;</w:t>
      </w:r>
    </w:p>
    <w:p>
      <w:r>
        <w:t xml:space="preserve">SР1 – требуемое количество незначительных нарушений;</w:t>
      </w:r>
    </w:p>
    <w:p>
      <w:r>
        <w:t xml:space="preserve">SР2 – количество выявленных незначительных нарушений;</w:t>
      </w:r>
    </w:p>
    <w:p>
      <w:r>
        <w:t xml:space="preserve">Показатель степени риска по нарушениям (SР) рассчитывается по шкале от 0 до 100 баллов и определяется путем суммирования показателей значительных и незначительных нарушений по следующей формуле:</w:t>
      </w:r>
    </w:p>
    <w:p>
      <w:r>
        <w:t xml:space="preserve">SР = SРз + SРн, где:</w:t>
      </w:r>
    </w:p>
    <w:p>
      <w:r>
        <w:t xml:space="preserve">SР – показатель степени риска по нарушениям;</w:t>
      </w:r>
    </w:p>
    <w:p>
      <w:r>
        <w:t xml:space="preserve">SРз – показатель значительных нарушений;</w:t>
      </w:r>
    </w:p>
    <w:p>
      <w:r>
        <w:t xml:space="preserve">SРн – показатель незначительных нарушений.</w:t>
      </w:r>
    </w:p>
    <w:p>
      <w:r>
        <w:t xml:space="preserve">Полученное значение показателя степени риска по нарушениям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24</w:t>
      </w:r>
    </w:p>
    <w:p>
      <w:r>
        <w:t xml:space="preserve">24. Расчет показателя степени риска по субъективным критериям, определенным в соответствии с пунктом 18 настоящих Критериев, производится по шкале от 0 до 100 баллов и осуществляется по следующей формуле:</w:t>
      </w:r>
    </w:p>
    <w:p>
      <w:r>
        <w:t xml:space="preserve">x i – показатель субъективного критерия,</w:t>
      </w:r>
    </w:p>
    <w:p>
      <w:r>
        <w:t xml:space="preserve">w i – удельный вес показателя субъективного критерия xi,</w:t>
      </w:r>
    </w:p>
    <w:p>
      <w:r>
        <w:t xml:space="preserve">n – количество показателей.</w:t>
      </w:r>
    </w:p>
    <w:p>
      <w:r>
        <w:t xml:space="preserve">Полученное значение показателя степени риска по субъективным критериям, определенным в соответствии с пунктом 18 настоящих Критериев,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25</w:t>
      </w:r>
    </w:p>
    <w:p>
      <w:r>
        <w:t xml:space="preserve">25. Рассчитанные по субъектам (объектам) значения по показателю R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p>
      <w:r>
        <w:t xml:space="preserve">R – показатель степени риска (итоговый) по субъективным критериям отдельного субъекта (объекта) контроля,</w:t>
      </w:r>
    </w:p>
    <w:p>
      <w:r>
        <w:t xml:space="preserve">R max 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шкалы),</w:t>
      </w:r>
    </w:p>
    <w:p>
      <w:r>
        <w:t xml:space="preserve">R min 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шкалы),</w:t>
      </w:r>
    </w:p>
    <w:p>
      <w:r>
        <w:t xml:space="preserve">R пром – промежуточный показатель степени риска по субъективным критериям, рассчитанный в соответствии с пунктом 22 настоящих Критериев.</w:t>
      </w:r>
    </w:p>
    <w:p>
      <w:r>
        <w:t xml:space="preserve">|  | Приложение 1 к Критериям оценки степени риска за соблюдением трудового законодательства Республики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за соблюдением трудового законодательства Республики Казахстан</w:t>
      </w:r>
    </w:p>
    <w:p>
      <w:r>
        <w:t xml:space="preserve">| № п/п | Критерии рисков за соблюдением трудового законодательства | Степень нарушений |</w:t>
      </w:r>
    </w:p>
    <w:p>
      <w:r>
        <w:t xml:space="preserve">|---|---|---|</w:t>
      </w:r>
    </w:p>
    <w:p>
      <w:r>
        <w:t xml:space="preserve">| 1 | Наличие несчастного случая, связанного с трудовой деятельностью, с тяжелым или со смертельным исходом | Грубое |</w:t>
      </w:r>
    </w:p>
    <w:p>
      <w:r>
        <w:t xml:space="preserve">| 2 | Наличие группового несчастного случая, связанного с трудовой деятельностью, произошедшего одновременно с двумя и более работниками, независимо от степени тяжести производственных травм пострадавших | Грубое |</w:t>
      </w:r>
    </w:p>
    <w:p>
      <w:r>
        <w:t xml:space="preserve">| 3 | Проведение расследования несчастных случаев с тяжелым или со смертельным исходом, связанных с трудовой деятельностью, а также групповых несчастных случаев, произошедших одновременно с двумя и более работниками, независимо от степени тяжести производственных травм пострадавших | Грубое |</w:t>
      </w:r>
    </w:p>
    <w:p>
      <w:r>
        <w:t xml:space="preserve">| 4 | Сообщение о несчастном случае, связанном с трудовой деятельностью, по форме, установленной уполномоченным государственным органом по труду в местный орган по инспекции труда | Грубое |</w:t>
      </w:r>
    </w:p>
    <w:p>
      <w:r>
        <w:t xml:space="preserve">| 5 | Предоставление работникам основного оплачиваемого ежегодного трудового отпуска; дополнительного оплачиваемого ежегодного трудового отпуска; учебного отпуска; отпуска в связи с беременностью и рождением ребенка (детей), усыновлением (удочерением) новорожденного ребенка (детей); отпуска без сохранения заработной платы по уходу за ребенком до достижения им возраста трех лет | Грубое |</w:t>
      </w:r>
    </w:p>
    <w:p>
      <w:r>
        <w:t xml:space="preserve">| 6 | Соблюдение нормальной продолжительности рабочего времени, сокращенной продолжительности рабочего времени для отдельных категорий работников | Грубое |</w:t>
      </w:r>
    </w:p>
    <w:p>
      <w:r>
        <w:t xml:space="preserve">| 7 | Предоставление работникам перерыва для отдыха и приема пищи | Грубое |</w:t>
      </w:r>
    </w:p>
    <w:p>
      <w:r>
        <w:t xml:space="preserve">| 8 | Предоставление внутрисменных и специальных перерывов | Грубое |</w:t>
      </w:r>
    </w:p>
    <w:p>
      <w:r>
        <w:t xml:space="preserve">| 9 | Обеспечение полноты и своевременности выплаты заработной платы и иных выплат, в том числе по возмещению вреда, причиненного жизни и здоровью работника | Грубое |</w:t>
      </w:r>
    </w:p>
    <w:p>
      <w:r>
        <w:t xml:space="preserve">| 10 | Обеспечение работников средствами индивидуальной и коллективной защиты, специальной одеждой | Грубое |</w:t>
      </w:r>
    </w:p>
    <w:p>
      <w:r>
        <w:t xml:space="preserve">| 11 | Наличие листа временной нетрудоспособности, а также документа, подтверждающего оплату листа временной нетрудоспособности | Значительное |</w:t>
      </w:r>
    </w:p>
    <w:p>
      <w:r>
        <w:t xml:space="preserve">| 12 | Компенсационные выплаты за неиспользованные дни оплачиваемого ежегодного трудового отпуска (ежегодных трудовых отпусков) | Значительное |</w:t>
      </w:r>
    </w:p>
    <w:p>
      <w:r>
        <w:t xml:space="preserve">| 13 | Наличие отчета о результатах аттестации, подтверждающей проведение работодателем аттестации производственных объектов и вспомогательных подразделений по условиям труда | Значительное |</w:t>
      </w:r>
    </w:p>
    <w:p>
      <w:r>
        <w:t xml:space="preserve">| 14 | Наличие службы или специалиста по безопасности и охране труда | Грубое |</w:t>
      </w:r>
    </w:p>
    <w:p>
      <w:r>
        <w:t xml:space="preserve">| 15 | Обеспечение работников рабочим местом, оборудованным в соответствии с требованиями безопасности и охраны труда, оборудованием, инструментами, технической документацией, необходимой для исполнения трудовых обязанностей | Значительное |</w:t>
      </w:r>
    </w:p>
    <w:p>
      <w:r>
        <w:t xml:space="preserve">| 16 | Наличие рабочего оборудования, соответствующего нормам безопасности, установленным для данного вида оборудования, с соответствующими техническими паспортом (сертификат), знаками предупреждения и ограждениями или защитными устройствами для обеспечения безопасности работников на рабочих местах | Грубое |</w:t>
      </w:r>
    </w:p>
    <w:p>
      <w:r>
        <w:t xml:space="preserve">| 17 | Наличие документации по проведению обучения, инструктирования и проверки знаний по безопасности и охране труда | Значительное |</w:t>
      </w:r>
    </w:p>
    <w:p>
      <w:r>
        <w:t xml:space="preserve">| 18 | Наличие договоров обязательного страхования работника от несчастных случаев при исполнении им трудовых (служебных) обязанностей, обязательного социального страхования работников. При осуществлении работодателем деятельности в рамках договора на оказание услуг по предоставлению персонала в качестве направляющей стороны, он подлежит отнесению к виду экономической деятельности, который имеет класс профессионального риска не ниже класса профессионального риска принимающей стороны или самого высокого класса профессионального риска принимающей стороны, в соответствии с заключаемыми им договорами на оказание услуг по предоставлению персонала. | Значительное |</w:t>
      </w:r>
    </w:p>
    <w:p>
      <w:r>
        <w:t xml:space="preserve">| 19 | Соблюдение работодателем обязанностей в сфере занятости и профессиональной реабилитации лиц с инвалидностью от трудового увечья, профессионального заболевания полученного по вине работодателя, предусмотренных индивидуальной программой реабилитации | Значительное |</w:t>
      </w:r>
    </w:p>
    <w:p>
      <w:r>
        <w:t xml:space="preserve">| 20 | Соблюдение порядка применения дисциплинарных взысканий, предусматривающее затребовать от работника объяснение в письменной форме, ознакомление работника с актом работодателя о наложении дисциплинарного взыскания под роспись | Значительное |</w:t>
      </w:r>
    </w:p>
    <w:p>
      <w:r>
        <w:t xml:space="preserve">| 21 | Выполнение условий коллективного договора, соглашений социального партнерства | Значительное |</w:t>
      </w:r>
    </w:p>
    <w:p>
      <w:r>
        <w:t xml:space="preserve">| 22 | Наличие трудовых договоров в отношении работников | Грубое |</w:t>
      </w:r>
    </w:p>
    <w:p>
      <w:r>
        <w:t xml:space="preserve">| 23 | Соблюдение запрета на использование детского труда | Значительное |</w:t>
      </w:r>
    </w:p>
    <w:p>
      <w:r>
        <w:t xml:space="preserve">| 24 | Обеспечение работникам равной оплаты за равный труд, а также равные производственно-бытовые условия без какой-либо дискриминации, в том числе в отношении работников направляющей стороны при заключении договора на оказание услуг по предоставлению персонала | Грубое |</w:t>
      </w:r>
    </w:p>
    <w:p>
      <w:r>
        <w:t xml:space="preserve">| 25 | Наличие акта работодателя о создании согласительной комиссии по рассмотрению индивидуальных трудовых споров, а также рассмотрение индивидуального трудового спора согласительной комиссией в установленные сроки | Значительное |</w:t>
      </w:r>
    </w:p>
    <w:p>
      <w:r>
        <w:t xml:space="preserve">| 26 | Соблюдение гарантий по осуществлению минимального размера месячной заработной платы | Значительное |</w:t>
      </w:r>
    </w:p>
    <w:p>
      <w:r>
        <w:t xml:space="preserve">| 27 | Осуществление компенсационных выплат, связанных с особым режимом работы и условиями труда, потерей работы, возмещением работником затрат, связанных с исполнением ими трудовых, государственных или общественных обязанностей | Значительное |</w:t>
      </w:r>
    </w:p>
    <w:p>
      <w:r>
        <w:t xml:space="preserve">| 28 | Осуществление компенсационных выплат, связанные с профессиональной подготовкой, переподготовкой и повышением квалификации работников или иных лиц, не состоящих в трудовых отношениях | Значительное |</w:t>
      </w:r>
    </w:p>
    <w:p>
      <w:r>
        <w:t xml:space="preserve">| 29 | Выдача документов, подтверждающих трудовую деятельность работника (трудовая книжка, трудовой договор, выписки из актов работодателя, выписки из ведомости выдачи заработной платы работникам, послужной список, договор о дуальном обучении) | Незначительное |</w:t>
      </w:r>
    </w:p>
    <w:p>
      <w:pPr>
        <w:pStyle w:val="Heading2"/>
      </w:pPr>
      <w:r>
        <w:t xml:space="preserve">1</w:t>
      </w:r>
    </w:p>
    <w:p>
      <w:r>
        <w:t xml:space="preserve">| № п/п | Критерии рисков за соблюдением трудового законодательства | Степень нарушений |</w:t>
      </w:r>
    </w:p>
    <w:p>
      <w:r>
        <w:t xml:space="preserve">|---|---|---|</w:t>
      </w:r>
    </w:p>
    <w:p>
      <w:r>
        <w:t xml:space="preserve">| 30 | Выдача по требованию работника (в том числе бывшего) в течение пяти рабочих дней с момента обращения справки с указанием специальности (квалификации, должности), времени работы и размера заработной платы, характеристику-рекомендацию, содержащую сведения о квалификации работника и его отношении к работе | Незначительное |</w:t>
      </w:r>
    </w:p>
    <w:p>
      <w:r>
        <w:t xml:space="preserve">| 31 | При ликвидации, банкротстве работодателя – юридического лица, прекращении деятельности работодателя – физического лица при наличии задолженности перед работником выдача справки о размере образовавшейся задолженности по заработной плате и иным выплатам, оформленную надлежащим образом | Незначительное |</w:t>
      </w:r>
    </w:p>
    <w:p>
      <w:r>
        <w:t xml:space="preserve">| 32 | Выполнение установленной квоты рабочих мест для лиц с инвалидностью, лиц, состоящих на учете службы пробации, а также лиц, освобожденных из мест лишения свободы, и граждан из числа молодежи, потерявших или оставшихся до наступления совершеннолетия без попечения родителей, являющихся выпускниками организаций образования | Незначительное |</w:t>
      </w:r>
    </w:p>
    <w:p>
      <w:r>
        <w:t xml:space="preserve">| 33 | Представления центру занятости населения информации о предстоящем высвобождении работников в связи с прекращением деятельности работодателя – физического лица либо ликвидацией работодателя – юридического лица, сокращением численности или штата, снижением объема производств и выполняемых работ и услуг, повлекшего ухудшение экономического состояния работодателя | Незначительное |</w:t>
      </w:r>
    </w:p>
    <w:p>
      <w:r>
        <w:t xml:space="preserve">| 34 | Направление центру занятости сведения о наличии вакансий в течение пяти рабочих дней со дня их появления с указанием условий труда и оплаты | Незначительное |</w:t>
      </w:r>
    </w:p>
    <w:p>
      <w:r>
        <w:t xml:space="preserve">| 35 | Своевременное извещение центра занятости населения о приеме на работу или отказе в приеме на работу | Незначительное |</w:t>
      </w:r>
    </w:p>
    <w:p>
      <w:r>
        <w:t xml:space="preserve">| 36 | Привлечение работодателем иностранной рабочей силы без разрешения местного исполнительного органа или использование труда иностранцев и лиц без гражданства, не имеющих справок о соответствии квалификации для самостоятельного трудоустройства, выданных уполномоченным органом по вопросам миграции населения, или разрешений трудовому иммигранту, выдаваемых органами внутренних дел, а также привлечение работодателем иностранного работника на должность (профессию или специальность), не соответствующую должности (профессии или специальности), указанной в разрешении местного исполнительного органа на привлечение иностранной рабочей силы. Количество привлекаемой работодателем иностранной рабочей силы по разрешениям должно соответствовать определяемому уполномоченным органом по вопросам занятости населения процентному соотношению к численности казахстанских кадров с учетом работников направляющей стороны, осуществляющих трудовую деятельность в рамках договора на оказание услуг по предоставлению персонала. | Грубое |</w:t>
      </w:r>
    </w:p>
    <w:p>
      <w:r>
        <w:t xml:space="preserve">| 37 | Наличие надлежащим образом принятых актов работодателя в части приема на работу, увольнения, перевода, выплат, отстранения, произведенных удержаний, предоставления отпусков, установления доплат, компенсационных выплат и гарантий | Незначительное |</w:t>
      </w:r>
    </w:p>
    <w:p>
      <w:r>
        <w:t xml:space="preserve">| 38 | Внесение работодателем информации о заключении и прекращении с работником трудового договора, вносимых в него изменениях и (или) дополнениях, содержащих сведения в части реквизитов работника и работодателя, работы по определенной специальности, профессии, квалификации или должности (трудовую функцию), места выполнения работы, срока трудового договора, даты начала работы, даты заключения и порядкового номера в единую систему учета трудовых договоров | Значительное |</w:t>
      </w:r>
    </w:p>
    <w:p>
      <w:r>
        <w:t xml:space="preserve">| 39 | Внедрение системы управления охраной труда и осуществление контроля за ее функционированием | Грубое |</w:t>
      </w:r>
    </w:p>
    <w:p>
      <w:r>
        <w:t xml:space="preserve">| 40 | Соблюдение запрета на использование принудительного труда | Грубое |</w:t>
      </w:r>
    </w:p>
    <w:p>
      <w:r>
        <w:t xml:space="preserve">| 41 | Из отчетов по аттестации производственных объектов по условиям труда, представляемых предприятиями, выявление несоответствия по следующим показателям: 1) вредности и опасности факторов производственной среды; 2) обеспечение средствами индивидуальной защиты в соответствии с нормами выдачи; 3) травмобезопасности; 4) тяжести трудового процесса; 5) напряженности трудового процесса | Грубое |</w:t>
      </w:r>
    </w:p>
    <w:p>
      <w:r>
        <w:t xml:space="preserve">|  | Приложение 2 к Критериям оценки степени риска за соблюдением трудового законодательства Республики Казахстан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субъективных критериев для определения степени риска по субъективным критериям оценки степени риска за соблюдением трудового законодательства Республики Казахстан</w:t>
      </w:r>
    </w:p>
    <w:p>
      <w:r>
        <w:t xml:space="preserve">| № п/п | Показатель субъективного критерия | Источник информации по показателю субъективного критерия | Удельный вес по значимости, балл (в сумме не должен превышать 100 баллов), w i | Условия /значения, x i |  |</w:t>
      </w:r>
    </w:p>
    <w:p>
      <w:r>
        <w:t xml:space="preserve">|---|---|---|---|---|---|</w:t>
      </w:r>
    </w:p>
    <w:p>
      <w:r>
        <w:t xml:space="preserve">| условие 1/значение | условие 2/значение |  |  |  |  |</w:t>
      </w:r>
    </w:p>
    <w:p>
      <w:r>
        <w:t xml:space="preserve">| 1 | 2 | 3 | 4 | 5 | 6 |</w:t>
      </w:r>
    </w:p>
    <w:p>
      <w:r>
        <w:t xml:space="preserve">| Для профилактического контроля с посещением |  |  |  |  |  |</w:t>
      </w:r>
    </w:p>
    <w:p>
      <w:r>
        <w:t xml:space="preserve">| 1. | Наличие договоров обязательного страхования работника от несчастных случаев при исполнении им трудовых (служебных) обязанностей, обязательного социального страхования работников. При осуществлении работодателем деятельности в рамках договора на оказание услуг по предоставлению персонала в качестве направляющей стороны, он подлежит отнесению к виду экономической деятельности, который имеет класс профессионального риска не ниже класса профессионального риска принимающей стороны или самого высокого класса профессионального риска принимающей стороны, в соответствии с заключаемыми им договорами на оказание услуг по предоставлению персонала. | Результаты мониторинга отчетности и сведений, представляемых субъектом контроля | 50 | Наличие | Отсутствие |</w:t>
      </w:r>
    </w:p>
    <w:p>
      <w:r>
        <w:t xml:space="preserve">| 0 % | 100 % |  |  |  |  |</w:t>
      </w:r>
    </w:p>
    <w:p>
      <w:r>
        <w:t xml:space="preserve">| 2. | Внесение работодателем информации о заключении и прекращении с работником трудового договора, вносимых в него изменениях и (или) дополнениях, содержащих сведения в части реквизитов работника и работодателя, работы по определенной специальности, профессии, квалификации или должности (трудовую функцию), места выполнения работы, срока трудового договора, даты начала работы, даты заключения и порядкового номера в единую систему учета трудовых договоров | Результаты мониторинга отчетности и сведений, представляемых субъектом контроля | 50 | Наличие | Отсутствие |</w:t>
      </w:r>
    </w:p>
    <w:p>
      <w:r>
        <w:t xml:space="preserve">| 0 % | 100 % |  |  |  |  |</w:t>
      </w:r>
    </w:p>
    <w:p>
      <w:pPr>
        <w:pStyle w:val="Heading2"/>
      </w:pPr>
      <w:r>
        <w:t xml:space="preserve">Текст</w:t>
      </w:r>
    </w:p>
    <w:p>
      <w:r>
        <w:t xml:space="preserve">Инструкция по заполнению шаблона:</w:t>
      </w:r>
    </w:p>
    <w:p>
      <w:pPr>
        <w:pStyle w:val="Heading2"/>
      </w:pPr>
      <w:r>
        <w:t xml:space="preserve">Подпункт 1</w:t>
      </w:r>
    </w:p>
    <w:p>
      <w:r>
        <w:t xml:space="preserve">1) Показатели субъективных критериев определяются для однородных групп субъектов (объектов) контроля в каждой сфере государственного контроля.</w:t>
      </w:r>
    </w:p>
    <w:p>
      <w:pPr>
        <w:pStyle w:val="Heading2"/>
      </w:pPr>
      <w:r>
        <w:t xml:space="preserve">Подпункт 2</w:t>
      </w:r>
    </w:p>
    <w:p>
      <w:r>
        <w:t xml:space="preserve">2) в графе 2 указывается показатель субъективного критерия.</w:t>
      </w:r>
    </w:p>
    <w:p>
      <w:pPr>
        <w:pStyle w:val="Heading2"/>
      </w:pPr>
      <w:r>
        <w:t xml:space="preserve">Подпункт 3</w:t>
      </w:r>
    </w:p>
    <w:p>
      <w:r>
        <w:t xml:space="preserve">3) в графе 3 указываются приоритетные источники информации.</w:t>
      </w:r>
    </w:p>
    <w:p>
      <w:pPr>
        <w:pStyle w:val="Heading2"/>
      </w:pPr>
      <w:r>
        <w:t xml:space="preserve">Подпункт 4</w:t>
      </w:r>
    </w:p>
    <w:p>
      <w:r>
        <w:t xml:space="preserve">4) в графе 4 указывается удельный вес по значимости показателя субъективного критерия в баллах. Сумма всех строк по данной графе не должно превышать 100 баллов.</w:t>
      </w:r>
    </w:p>
    <w:p>
      <w:pPr>
        <w:pStyle w:val="Heading2"/>
      </w:pPr>
      <w:r>
        <w:t xml:space="preserve">Подпункт 5</w:t>
      </w:r>
    </w:p>
    <w:p>
      <w:r>
        <w:t xml:space="preserve">5) в графе 5 указываются условия учета показателя субъективного критерия в расчете степени риска по субъективным критериям и числовые значения показателей субъективных критериев, соответствующие каждому условию. Числовые значения указываются в процентах от 0 до 100, в зависимости от повышения риска. Допустимые значения показателей субъективных критериев регламентируются нормативными правовыми актами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