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23 декабря 2020 года № ҚР ДСМ-316/2020 "Об утверждении правил присвоения и пересмотра статуса научной организации в области здравоохранения, а также правил проведения оценки результативности научной, научно-технической и инновационной деятельности"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10.04.2023. № 179653. редакция от 10.04.2023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23 декабря 2020 года № ҚР ДСМ-316/2020 "Об утверждении правил присвоения и пересмотра статуса научной организации в области здравоохранения, а также правил проведения оценки результативности научной, научно-технической и инновационной деятельности" (зарегистрирован в Реестре государственной регистрации нормативных правовых актов под № 21894)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1 статьи 225 Кодекса Республики Казахстан "О здоровье народа и системе здравоохранения" ПРИКАЗЫВАЮ: ";</w:t>
      </w:r>
    </w:p>
    <w:p>
      <w:r>
        <w:t xml:space="preserve">правила присвоения и пересмотра статуса научной организации в области здравоохранения, утвержденные приложением 1 к указанному приказу, изложить в новой редакции согласно приложению 1 к настоящему приказу;</w:t>
      </w:r>
    </w:p>
    <w:p>
      <w:r>
        <w:t xml:space="preserve">правила проведения оценки результативности научной, научно-технической и инновационной деятельности, утвержденные приложением 2 к указанному приказу, изложить в новой редакции согласно приложению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науки и высшего образования Республики Казахстан</w:t>
      </w:r>
    </w:p>
    <w:p>
      <w:r>
        <w:t xml:space="preserve">|  | Приложение 1 к приказу Министр здравоохранения Республики Казахстан от 10 апреля 2023 года № 67 |</w:t>
      </w:r>
    </w:p>
    <w:p>
      <w:r>
        <w:t xml:space="preserve">|---|---|</w:t>
      </w:r>
    </w:p>
    <w:p>
      <w:r>
        <w:t xml:space="preserve">|  | Утверждены приказом Министра здравоохранения Республики Казахстан от 23 декабря 2020 года № ҚР ДСМ-316/2020 |</w:t>
      </w:r>
    </w:p>
    <w:p>
      <w:pPr>
        <w:pStyle w:val="Heading2"/>
      </w:pPr>
      <w:r>
        <w:t xml:space="preserve">Глава Правила присвоения и пересмотра статуса научной организации в области здравоохранения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присвоения и пересмотра статуса научной организации в области здравоохранения (далее – Правила) разработаны в соответствии с пунктом 1 статьи 225 Кодекса Республики Казахстан "О здоровье народа и системе здравоохранения" (далее – Кодекс) и определяют порядок присвоения и пересмотра статуса научной организации в области здравоохранения по результатам оценки результативности научной, научно-технической и инновационной деятельности.</w:t>
      </w:r>
    </w:p>
    <w:p>
      <w:pPr>
        <w:pStyle w:val="Heading2"/>
      </w:pPr>
      <w:r>
        <w:t xml:space="preserve">Пункт 2</w:t>
      </w:r>
    </w:p>
    <w:p>
      <w:r>
        <w:t xml:space="preserve">2. Статус научной организации в области здравоохранения присваивается с учетом приказа Министра здравоохранения Республики Казахстан от 8 октября 2020 года № ҚР ДСМ-117/2020 "Об утверждении Номенклатуры организаций здравоохранения" (зарегистрирован в Реестре государственной регистрации нормативных правовых актов под № 21385) (далее – Приказ).</w:t>
      </w:r>
    </w:p>
    <w:p>
      <w:pPr>
        <w:pStyle w:val="Heading2"/>
      </w:pPr>
      <w:r>
        <w:t xml:space="preserve">Пункт 3</w:t>
      </w:r>
    </w:p>
    <w:p>
      <w:r>
        <w:t xml:space="preserve">3. В настоящих Правилах используются следующие термины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научная деятельность деятельность, направленная на изучение окружающей действительности с целью выявления свойств, особенностей и закономерностей, присущих изучаемым объектам, явлениям (процессам), и использование полученных знаний на практике;</w:t>
      </w:r>
    </w:p>
    <w:p>
      <w:pPr>
        <w:pStyle w:val="Heading2"/>
      </w:pPr>
      <w:r>
        <w:t xml:space="preserve">Подпункт 2</w:t>
      </w:r>
    </w:p>
    <w:p>
      <w:r>
        <w:t xml:space="preserve">2) научно-техническая деятельность деятельность, направленная на получение и применение новых знаний во всех областях науки, техники и производства для решения технологических, конструкторских, экономических и социально-политических и иных задач, обеспечение функционирования науки, технологии и производства как единой системы, включая разработку нормативно-технической документации, необходимой для проведения этих исследований;</w:t>
      </w:r>
    </w:p>
    <w:p>
      <w:pPr>
        <w:pStyle w:val="Heading2"/>
      </w:pPr>
      <w:r>
        <w:t xml:space="preserve">Подпункт 3</w:t>
      </w:r>
    </w:p>
    <w:p>
      <w:r>
        <w:t xml:space="preserve">3) научная организация в области здравоохранения – национальный центр, научный центр или научно-исследовательский институт, осуществляющие научную, научно-техническую и инновационную деятельность в области здравоохранения, а также медицинскую, фармацевтическую и (или) образовательную деятельность;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5</w:t>
      </w:r>
    </w:p>
    <w:p>
      <w:r>
        <w:t xml:space="preserve">5) организация здравоохранения – юридическое лицо, осуществляющее деятельность в области здравоохранения;</w:t>
      </w:r>
    </w:p>
    <w:p>
      <w:pPr>
        <w:pStyle w:val="Heading2"/>
      </w:pPr>
      <w:r>
        <w:t xml:space="preserve">Подпункт 6</w:t>
      </w:r>
    </w:p>
    <w:p>
      <w:r>
        <w:t xml:space="preserve">6) инновационная деятельность, деятельность (включая интеллектуальную творческую, научную, научно-техническую, технологическую, промышленно-инновационную, инфокоммуникационную, организационную, финансовую и (или) коммерческую деятельность), направленная на создание инноваций;</w:t>
      </w:r>
    </w:p>
    <w:p>
      <w:pPr>
        <w:pStyle w:val="Heading2"/>
      </w:pPr>
      <w:r>
        <w:t xml:space="preserve">Подпункт 7</w:t>
      </w:r>
    </w:p>
    <w:p>
      <w:r>
        <w:t xml:space="preserve">7) научный совет Министерства здравоохранения Республики Казахстан (далее – Научный совет) – консультативно – совещательный орган при Министерстве здравоохранения Республики Казахстан, создаваемый в целях совершенствования развития медицинской и фармацевтической науки, координации научной деятельности в области здравоохранения.</w:t>
      </w:r>
    </w:p>
    <w:p>
      <w:pPr>
        <w:pStyle w:val="Heading2"/>
      </w:pPr>
      <w:r>
        <w:t xml:space="preserve">Глава 2 Порядок присвоения статуса научной организации в области здравоохранения</w:t>
      </w:r>
    </w:p>
    <w:p>
      <w:pPr>
        <w:pStyle w:val="Heading2"/>
      </w:pPr>
      <w:r>
        <w:t xml:space="preserve">Пункт 4</w:t>
      </w:r>
    </w:p>
    <w:p>
      <w:r>
        <w:t xml:space="preserve">4. Порядок присвоения статуса научной организации в области здравоохранения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внесение организацией здравоохранения в уполномоченный орган представления о присвоении ей статуса научной организации в области здравоохранения с указанием информации:</w:t>
      </w:r>
    </w:p>
    <w:p>
      <w:r>
        <w:t xml:space="preserve">об имеющихся научных подразделениях и научно-исследовательских кадрах;</w:t>
      </w:r>
    </w:p>
    <w:p>
      <w:r>
        <w:t xml:space="preserve">о результативности научной, научно-технической и инновационной деятельности за последние 3 года;</w:t>
      </w:r>
    </w:p>
    <w:p>
      <w:pPr>
        <w:pStyle w:val="Heading2"/>
      </w:pPr>
      <w:r>
        <w:t xml:space="preserve">Подпункт 2</w:t>
      </w:r>
    </w:p>
    <w:p>
      <w:r>
        <w:t xml:space="preserve">2) рассмотрение представления о присвоении статуса научной организации в области здравоохранения Научным советом уполномоченного органа (далее – Научный совет) в срок не более 60 рабочих дней путем:</w:t>
      </w:r>
    </w:p>
    <w:p>
      <w:r>
        <w:t xml:space="preserve">проведения оценки потенциала организации здравоохранения к научной, научно-технической и инновационной деятельности;</w:t>
      </w:r>
    </w:p>
    <w:p>
      <w:r>
        <w:t xml:space="preserve">проведения оценки соответствия организации здравоохранения требованиям к кадровому потенциалу и доходам от исследовательской деятельности, указанным в пункте 9 настоящих Правил, а также оценки результативности научной, научно-технической и инновационной деятельности за последние 3 года;</w:t>
      </w:r>
    </w:p>
    <w:p>
      <w:pPr>
        <w:pStyle w:val="Heading2"/>
      </w:pPr>
      <w:r>
        <w:t xml:space="preserve">Подпункт 3</w:t>
      </w:r>
    </w:p>
    <w:p>
      <w:r>
        <w:t xml:space="preserve">3) принятие Научным советом одного из следующих решений:</w:t>
      </w:r>
    </w:p>
    <w:p>
      <w:r>
        <w:t xml:space="preserve">об одобрении представления организации здравоохранения о присвоении ей статуса научной организации в области здравоохранения;</w:t>
      </w:r>
    </w:p>
    <w:p>
      <w:r>
        <w:t xml:space="preserve">об отказе в выдаче одобрения (с обоснованием) на представление организации здравоохранения о присвоении ей статуса научной организации в области здравоохранения.</w:t>
      </w:r>
    </w:p>
    <w:p>
      <w:pPr>
        <w:pStyle w:val="Heading2"/>
      </w:pPr>
      <w:r>
        <w:t xml:space="preserve">Пункт 5</w:t>
      </w:r>
    </w:p>
    <w:p>
      <w:r>
        <w:t xml:space="preserve">5. Научный совет одобряет представление организации здравоохранения о присвоении ей статуса научной организации в области здравоохранения при соответствии организации требованиям, указанным в пункте 9 настоящих Правил, и наличии активности за последние три года по таким индикаторам оценки результативности научной, научно-технической и инновационной деятельности, как количество публикаций в Web of Science (Веб оф Cайнс), Scopus (Скопус), Springer (Cпрингер) и цитирование научных работ.</w:t>
      </w:r>
    </w:p>
    <w:p>
      <w:pPr>
        <w:pStyle w:val="Heading2"/>
      </w:pPr>
      <w:r>
        <w:t xml:space="preserve">Пункт 6</w:t>
      </w:r>
    </w:p>
    <w:p>
      <w:r>
        <w:t xml:space="preserve">6. Научный совет отказывает в выдаче одобрения (с обоснованием) на представление организации здравоохранения о присвоении ей статуса научной организации в области здравоохранения при несоответствии организации требованиям, указанным в пункте 9 настоящих Правил, и отсутствии активности за последние три года по таким индикаторам оценки результативности научной, научно-технической и инновационной деятельности, как количество публикаций в Web of Science (Веб оф Cайнс), Scopus (Скопус), Springer (Спрингер) и цитирование научных работ.</w:t>
      </w:r>
    </w:p>
    <w:p>
      <w:pPr>
        <w:pStyle w:val="Heading2"/>
      </w:pPr>
      <w:r>
        <w:t xml:space="preserve">Пункт 7</w:t>
      </w:r>
    </w:p>
    <w:p>
      <w:r>
        <w:t xml:space="preserve">7. Оценка потенциала к научной, научно-технической и инновационной деятельности осуществляется на основании анализа представленной организацией здравоохранения информации о наличии в структуре организации научных подразделений, оборудования и оснащения, необходимых для проведения научных исследований в области здравоохранения, а также научно-исследовательских кадров, на долю которых приходится не менее 10 % от общего числа производственного персонала организации-заявителя, с наличием у не менее 50 % научно-исследовательских кадров:</w:t>
      </w:r>
    </w:p>
    <w:p>
      <w:pPr>
        <w:pStyle w:val="Heading2"/>
      </w:pPr>
      <w:r>
        <w:t xml:space="preserve">Подпункт 1</w:t>
      </w:r>
    </w:p>
    <w:p>
      <w:r>
        <w:t xml:space="preserve">1) ученых степеней доктора и (или) кандидата наук и (или) степени доктора философии и (или) доктора по профилю;</w:t>
      </w:r>
    </w:p>
    <w:p>
      <w:pPr>
        <w:pStyle w:val="Heading2"/>
      </w:pPr>
      <w:r>
        <w:t xml:space="preserve">Подпункт 2</w:t>
      </w:r>
    </w:p>
    <w:p>
      <w:r>
        <w:t xml:space="preserve">2) не менее 1 публикации в изданиях, индексируемых в Web of Science (Веб оф Cайнс), Scopus (Скопус), Springer (Спрингер) за последние 5 лет и ненулевой индекс Хирша;</w:t>
      </w:r>
    </w:p>
    <w:p>
      <w:pPr>
        <w:pStyle w:val="Heading2"/>
      </w:pPr>
      <w:r>
        <w:t xml:space="preserve">Подпункт 3</w:t>
      </w:r>
    </w:p>
    <w:p>
      <w:r>
        <w:t xml:space="preserve">3) опыта научно-исследовательской деятельности не менее 5 лет от общего стажа."</w:t>
      </w:r>
    </w:p>
    <w:p>
      <w:pPr>
        <w:pStyle w:val="Heading2"/>
      </w:pPr>
      <w:r>
        <w:t xml:space="preserve">Пункт 8</w:t>
      </w:r>
    </w:p>
    <w:p>
      <w:r>
        <w:t xml:space="preserve">8. Оценка результативности научной, научно-технической и нновационной деятельности организации здравоохранения осуществляется в порядке, установленном пунктом 1 статьи 225 Кодекса.</w:t>
      </w:r>
    </w:p>
    <w:p>
      <w:pPr>
        <w:pStyle w:val="Heading2"/>
      </w:pPr>
      <w:r>
        <w:t xml:space="preserve">Пункт 9</w:t>
      </w:r>
    </w:p>
    <w:p>
      <w:r>
        <w:t xml:space="preserve">9. Организация здравоохранения подтверждает соответствие следующим требованиям к кадровому потенциалу и доходам от научной и инновационной деятельности и видов исследовательской деятельности (биомедицинские, социологические и аналитические исследования):</w:t>
      </w:r>
    </w:p>
    <w:p>
      <w:pPr>
        <w:pStyle w:val="Heading2"/>
      </w:pPr>
      <w:r>
        <w:t xml:space="preserve">Подпункт 1</w:t>
      </w:r>
    </w:p>
    <w:p>
      <w:r>
        <w:t xml:space="preserve">1) доля научных сотрудников, а также сотрудников-членов временных научных коллективов из числа производственного персонала, от общего числа производственного персонала организации здравоохранения составляет не менее 10 %;</w:t>
      </w:r>
    </w:p>
    <w:p>
      <w:pPr>
        <w:pStyle w:val="Heading2"/>
      </w:pPr>
      <w:r>
        <w:t xml:space="preserve">Подпункт 2</w:t>
      </w:r>
    </w:p>
    <w:p>
      <w:r>
        <w:t xml:space="preserve">2) доля доходов от научной и инновационной деятельности в общем бюджете организации составляет:</w:t>
      </w:r>
    </w:p>
    <w:p>
      <w:r>
        <w:t xml:space="preserve">для организации клинического профиля не менее 0,5 %;</w:t>
      </w:r>
    </w:p>
    <w:p>
      <w:r>
        <w:t xml:space="preserve">для организации неклинического профиля не менее 5 %.</w:t>
      </w:r>
    </w:p>
    <w:p>
      <w:pPr>
        <w:pStyle w:val="Heading2"/>
      </w:pPr>
      <w:r>
        <w:t xml:space="preserve">Пункт 10</w:t>
      </w:r>
    </w:p>
    <w:p>
      <w:r>
        <w:t xml:space="preserve">10. На основании одобрения Научного совета уполномоченный орган:</w:t>
      </w:r>
    </w:p>
    <w:p>
      <w:pPr>
        <w:pStyle w:val="Heading2"/>
      </w:pPr>
      <w:r>
        <w:t xml:space="preserve">Подпункт 1</w:t>
      </w:r>
    </w:p>
    <w:p>
      <w:r>
        <w:t xml:space="preserve">1) в отношении организаций здравоохранения, учредителем которых является Правительство Республики Казахстан, со стопроцентным участием государства, направляет проект решения в Правительство Республики Казахстан о переименовании организации здравоохранения в научную организацию;</w:t>
      </w:r>
    </w:p>
    <w:p>
      <w:pPr>
        <w:pStyle w:val="Heading2"/>
      </w:pPr>
      <w:r>
        <w:t xml:space="preserve">Подпункт 2</w:t>
      </w:r>
    </w:p>
    <w:p>
      <w:r>
        <w:t xml:space="preserve">2) в отношении организаций здравоохранения, учредителем которых являются местные исполнительные органы областей, городов республиканского значения и столицы направляет рекомендацию в акимат соответствующего региона о переименовании организации здравоохранения в научную организацию;</w:t>
      </w:r>
    </w:p>
    <w:p>
      <w:pPr>
        <w:pStyle w:val="Heading2"/>
      </w:pPr>
      <w:r>
        <w:t xml:space="preserve">Подпункт 3</w:t>
      </w:r>
    </w:p>
    <w:p>
      <w:r>
        <w:t xml:space="preserve">3) в отношении негосударственных организаций здравоохранения направляет рекомендацию их учредителям (участникам) о переименовании юридического лица в научную организацию.</w:t>
      </w:r>
    </w:p>
    <w:p>
      <w:r>
        <w:t xml:space="preserve">Статус научной организации в области здравоохранения присваивается бессрочно и отзывается в порядке, установленном в главе 3 настоящих Правил.</w:t>
      </w:r>
    </w:p>
    <w:p>
      <w:pPr>
        <w:pStyle w:val="Heading2"/>
      </w:pPr>
      <w:r>
        <w:t xml:space="preserve">Глава 3 Порядок пересмотра статуса научной организации в области здравоохранения</w:t>
      </w:r>
    </w:p>
    <w:p>
      <w:pPr>
        <w:pStyle w:val="Heading2"/>
      </w:pPr>
      <w:r>
        <w:t xml:space="preserve">Пункт 11</w:t>
      </w:r>
    </w:p>
    <w:p>
      <w:r>
        <w:t xml:space="preserve">11. Научный совет ежегодно не позднее 30 апреля рассматривает результаты оценки результативности научной, научно-технической и инновационной деятельности научных организаций в области здравоохранения.</w:t>
      </w:r>
    </w:p>
    <w:p>
      <w:pPr>
        <w:pStyle w:val="Heading2"/>
      </w:pPr>
      <w:r>
        <w:t xml:space="preserve">Пункт 12</w:t>
      </w:r>
    </w:p>
    <w:p>
      <w:r>
        <w:t xml:space="preserve">12. Научный совет в течение 10 рабочих дней после заседания по рассмотрению результатов оценки результативности научной, научно-технической и инновационной деятельности вносит в уполномоченный орган представление об отзыве статуса научной организации в области здравоохранения у оцениваемой научной организации в области здравоохранения при выявлении одного из следующих фактов:</w:t>
      </w:r>
    </w:p>
    <w:p>
      <w:pPr>
        <w:pStyle w:val="Heading2"/>
      </w:pPr>
      <w:r>
        <w:t xml:space="preserve">Подпункт 1</w:t>
      </w:r>
    </w:p>
    <w:p>
      <w:r>
        <w:t xml:space="preserve">1) наличие отрицательной динамики и (или) отсутствии активности по четырем и более индикаторам научной, научно-технической и инновационной деятельности за последние 3 года (по данным оценки результативности научной, научно-технической и инновационной деятельности, проводимой в соответствии с Правилами проведения оценки результативности научной, научно-технической и инновационной деятельности, утвержденными приложением 2 к настоящему приказу);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научной организации в области здравоохранения одному из требований, указанных пункте 9 настоящих Правил в течение последних 3 лет (по данным отчетов научных организаций по исполнению Планов развития организации).</w:t>
      </w:r>
    </w:p>
    <w:p>
      <w:pPr>
        <w:pStyle w:val="Heading2"/>
      </w:pPr>
      <w:r>
        <w:t xml:space="preserve">Пункт 13</w:t>
      </w:r>
    </w:p>
    <w:p>
      <w:r>
        <w:t xml:space="preserve">13. На основании представления Научного совета об отзыве статуса научной организации уполномоченный орган в течение 10 рабочих дней:</w:t>
      </w:r>
    </w:p>
    <w:p>
      <w:pPr>
        <w:pStyle w:val="Heading2"/>
      </w:pPr>
      <w:r>
        <w:t xml:space="preserve">Подпункт 1</w:t>
      </w:r>
    </w:p>
    <w:p>
      <w:r>
        <w:t xml:space="preserve">1) в отношении организаций здравоохранения, учредителем которых является Правительство Республики Казахстан, направляет в Правительство Республики Казахстан ходатайство о переименовании организации здравоохранения с лишением ее статуса научной организации в области здравоохранения;</w:t>
      </w:r>
    </w:p>
    <w:p>
      <w:pPr>
        <w:pStyle w:val="Heading2"/>
      </w:pPr>
      <w:r>
        <w:t xml:space="preserve">Подпункт 2</w:t>
      </w:r>
    </w:p>
    <w:p>
      <w:r>
        <w:t xml:space="preserve">2) в отношении иных организаций здравоохранения издает приказ об отзыве у организации здравоохранения статуса научной организации в области здравоохранения</w:t>
      </w:r>
    </w:p>
    <w:p>
      <w:pPr>
        <w:pStyle w:val="Heading2"/>
      </w:pPr>
      <w:r>
        <w:t xml:space="preserve">Пункт 14</w:t>
      </w:r>
    </w:p>
    <w:p>
      <w:r>
        <w:t xml:space="preserve">14. При несогласии с решением Научного совета об отказе в выдаче одобрения на присвоение статуса научной организации в области здравоохранения или отзыве статуса научной организации, организация здравоохранения в срок до 20 рабочих дней подает жалобу в уполномоченный орган.</w:t>
      </w:r>
    </w:p>
    <w:p>
      <w:pPr>
        <w:pStyle w:val="Heading2"/>
      </w:pPr>
      <w:r>
        <w:t xml:space="preserve">Пункт 15</w:t>
      </w:r>
    </w:p>
    <w:p>
      <w:r>
        <w:t xml:space="preserve">15. Апелляционная комиссия по рассмотрению жалобы на решения Научного совета осуществляет деятельность в соответствии с постановлением Правительства Республики Казахстан от 6 сентября 2022 года № 658 "Об утверждении Положения об апелляционной комиссии".</w:t>
      </w:r>
    </w:p>
    <w:p>
      <w:pPr>
        <w:pStyle w:val="Heading2"/>
      </w:pPr>
      <w:r>
        <w:t xml:space="preserve">Пункт 16</w:t>
      </w:r>
    </w:p>
    <w:p>
      <w:r>
        <w:t xml:space="preserve">16. По результатам рассмотрения жалобы апелляционная комиссия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рекомендовать уполномоченному органу удовлетворить жалобу организации здравоохранения в отношении отказа в выдаче одобрения на присвоение статуса научной организации или отзыва статуса научной организации;</w:t>
      </w:r>
    </w:p>
    <w:p>
      <w:pPr>
        <w:pStyle w:val="Heading2"/>
      </w:pPr>
      <w:r>
        <w:t xml:space="preserve">Подпункт 2</w:t>
      </w:r>
    </w:p>
    <w:p>
      <w:r>
        <w:t xml:space="preserve">2) отказать в удовлетворении жалобы.</w:t>
      </w:r>
    </w:p>
    <w:p>
      <w:pPr>
        <w:pStyle w:val="Heading2"/>
      </w:pPr>
      <w:r>
        <w:t xml:space="preserve">Пункт 17</w:t>
      </w:r>
    </w:p>
    <w:p>
      <w:r>
        <w:t xml:space="preserve">17. Решение апелляционной комиссии принимается простым большинством голосов и оформляется протоколом. В случае равенства голосов, решающим является голос председательствующего.</w:t>
      </w:r>
    </w:p>
    <w:p>
      <w:r>
        <w:t xml:space="preserve">В случае несогласия с решением апелляционной комиссии оно обжалуется в порядке, предусмотренном Административным процедурно-процессуальным кодексом Республики Казахстан.</w:t>
      </w:r>
    </w:p>
    <w:p>
      <w:r>
        <w:t xml:space="preserve">|  | Приложение 2 к приказу |</w:t>
      </w:r>
    </w:p>
    <w:p>
      <w:r>
        <w:t xml:space="preserve">|---|---|</w:t>
      </w:r>
    </w:p>
    <w:p>
      <w:r>
        <w:t xml:space="preserve">|  | Утверждены приказом Министра здравоохранения Республики Казахстан от 23 декабря 2020 года № ҚР ДСМ-316/2020 |</w:t>
      </w:r>
    </w:p>
    <w:p>
      <w:pPr>
        <w:pStyle w:val="Heading2"/>
      </w:pPr>
      <w:r>
        <w:t xml:space="preserve">Глава Правила проведения оценки результативности научной, научно-технической и инновационной деятельности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проведения оценки результативности научной, научно-технической и инновационной деятельности (далее – Правила) разработаны в соответствии с пунктом 1 статьи 225 Кодекса Республики Казахстан "О здоровье народа и системе здравоохранения" и определяют порядок проведения оценки результативности научной, научно-технической и инновационной деятельности.</w:t>
      </w:r>
    </w:p>
    <w:p>
      <w:pPr>
        <w:pStyle w:val="Heading2"/>
      </w:pPr>
      <w:r>
        <w:t xml:space="preserve">Пункт 2</w:t>
      </w:r>
    </w:p>
    <w:p>
      <w:r>
        <w:t xml:space="preserve">2. В настоящих Правилах используются следующие термины и определения:</w:t>
      </w:r>
    </w:p>
    <w:p>
      <w:pPr>
        <w:pStyle w:val="Heading2"/>
      </w:pPr>
      <w:r>
        <w:t xml:space="preserve">Подпункт 1</w:t>
      </w:r>
    </w:p>
    <w:p>
      <w:r>
        <w:t xml:space="preserve">1) импакт–фактор журнала - формальный численный показатель важности научного журнала, рассчитываемый как отношение числа ссылок, которые получил журнал в текущем году на статьи, опубликованные в этом журнале в предыдущие два года, к числу статей, опубликованных в этом журнале в эти же два предшествующих года;</w:t>
      </w:r>
    </w:p>
    <w:p>
      <w:pPr>
        <w:pStyle w:val="Heading2"/>
      </w:pPr>
      <w:r>
        <w:t xml:space="preserve">Подпункт 2</w:t>
      </w:r>
    </w:p>
    <w:p>
      <w:r>
        <w:t xml:space="preserve">2) индекс Хирша или h-индекс – наукометрический показатель ученого. Индекс Хирша вычисляется на основе распределения цитирований работ данного исследователя: ученый имеет h-индекс, если h из его N статей цитируются как минимум h раз каждая, в то время как оставшиеся N-h его статей цитируются не более чем h раз каждая;</w:t>
      </w:r>
    </w:p>
    <w:p>
      <w:pPr>
        <w:pStyle w:val="Heading2"/>
      </w:pPr>
      <w:r>
        <w:t xml:space="preserve">Подпункт 3</w:t>
      </w:r>
    </w:p>
    <w:p>
      <w:r>
        <w:t xml:space="preserve">3) квартиль (Q) – это категория научных журналов, которую определяют библиометрические показатели, отражающие уровень цитируемости, то есть востребованности журнала научным сообществом. Журналы по узкой предметной области ранжируются по убыванию соответствующего показателя (импакт-фактор журнала или нормированный индекс SJR) и список делится на 4 равные части. В результате ранжирования каждый журнал попадает в один из четырех квартилей: от Q1 (самый высокий, к которому принадлежат наиболее авторитетные иностранные журналы) до Q4 (самый низкий);</w:t>
      </w:r>
    </w:p>
    <w:p>
      <w:pPr>
        <w:pStyle w:val="Heading2"/>
      </w:pPr>
      <w:r>
        <w:t xml:space="preserve">Подпункт 4</w:t>
      </w:r>
    </w:p>
    <w:p>
      <w:r>
        <w:t xml:space="preserve">4) нормированный индекс SJR (Scimago Journal Ranking) - формальный численный показатель важности научного журнала, при расчете которого учитываются не только общее количество цитирований, но и взвешенные показатели цитирований по годам и качественные показатели, такие как авторитетность ссылок. Нормированный индекс SJR рассчитывается исследовательской группой SCImago, которая занимается анализом, презентацией и поиском информации с помощью техник визуализации, для журналов, индексируемых в базе данных Scopus;</w:t>
      </w:r>
    </w:p>
    <w:p>
      <w:pPr>
        <w:pStyle w:val="Heading2"/>
      </w:pPr>
      <w:r>
        <w:t xml:space="preserve">Подпункт 5</w:t>
      </w:r>
    </w:p>
    <w:p>
      <w:r>
        <w:t xml:space="preserve">5) отчетный период – промежуток времени, за который происходит оценка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 исчисляется с 1 января по 31 декабря за предыдущий год;</w:t>
      </w:r>
    </w:p>
    <w:p>
      <w:pPr>
        <w:pStyle w:val="Heading2"/>
      </w:pPr>
      <w:r>
        <w:t xml:space="preserve">Подпункт 6</w:t>
      </w:r>
    </w:p>
    <w:p>
      <w:r>
        <w:t xml:space="preserve">6) оцениваемая организация – организация высшего и (или) послевузовского образования или научная организация в области здравоохранения, представляющая данные по индикаторам и показателям научной и инновационной деятельности;</w:t>
      </w:r>
    </w:p>
    <w:p>
      <w:pPr>
        <w:pStyle w:val="Heading2"/>
      </w:pPr>
      <w:r>
        <w:t xml:space="preserve">Подпункт 7</w:t>
      </w:r>
    </w:p>
    <w:p>
      <w:r>
        <w:t xml:space="preserve">7) производственный персонал – работники научных подразделений и профессорско-преподавательский состав организаций высшего и (или) послевузовского образования и научных организаций в области здравоохранения, а также работники клинических подразделений университетской больницы и научной организации в области здравоохранения клинического профиля, персонал подразделений, осуществляющих медицинскую и фармацевтическую деятельность, деятельность в области охраны общественного здоровья и организации здравоохранения, в научной организации в области здравоохранения неклинического профиля (за исключением обслуживающего, учебно-вспомогательного и среднего медицинского персонала);</w:t>
      </w:r>
    </w:p>
    <w:p>
      <w:pPr>
        <w:pStyle w:val="Heading2"/>
      </w:pPr>
      <w:r>
        <w:t xml:space="preserve">Подпункт 8</w:t>
      </w:r>
    </w:p>
    <w:p>
      <w:r>
        <w:t xml:space="preserve">8) научная организация в области здравоохранения – национальный центр, научный центр или научно-исследовательский институт, осуществляющие научную, научно-техническую и инновационную деятельность в области здравоохранения, а также медицинскую, фармацевтическую и (или) образовательную деятельности;</w:t>
      </w:r>
    </w:p>
    <w:p>
      <w:pPr>
        <w:pStyle w:val="Heading2"/>
      </w:pPr>
      <w:r>
        <w:t xml:space="preserve">Подпункт 9</w:t>
      </w:r>
    </w:p>
    <w:p>
      <w:r>
        <w:t xml:space="preserve">9) научная деятельность – деятельность, направленная на изучение окружающей действительности с целью выявления свойств, особенностей и закономерностей, присущих изучаемым объектам, явлениям (процессам), и использование полученных знаний на практике;</w:t>
      </w:r>
    </w:p>
    <w:p>
      <w:pPr>
        <w:pStyle w:val="Heading2"/>
      </w:pPr>
      <w:r>
        <w:t xml:space="preserve">Подпункт 10</w:t>
      </w:r>
    </w:p>
    <w:p>
      <w:r>
        <w:t xml:space="preserve">10) уполномоченный орган в области здравоохранения (далее – уполномоченный орган) – центральный исполнительный орган, осуществляющий руководство и межотраслевую координацию в области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средств и медицинских изделий, качества оказания медицинских услуг (помощи);</w:t>
      </w:r>
    </w:p>
    <w:p>
      <w:pPr>
        <w:pStyle w:val="Heading2"/>
      </w:pPr>
      <w:r>
        <w:t xml:space="preserve">Подпункт 11</w:t>
      </w:r>
    </w:p>
    <w:p>
      <w:r>
        <w:t xml:space="preserve">11) научно-техническая деятельность – деятельность, направленная на получение и применение новых знаний во всех областях науки, техники и производства для решения технологических, конструкторских, экономических и социально-политических и иных задач, обеспечение функционирования науки, технологии и производства как единой системы, включая разработку нормативно-технической документации, необходимой для проведения этих исследований;</w:t>
      </w:r>
    </w:p>
    <w:p>
      <w:pPr>
        <w:pStyle w:val="Heading2"/>
      </w:pPr>
      <w:r>
        <w:t xml:space="preserve">Подпункт 12</w:t>
      </w:r>
    </w:p>
    <w:p>
      <w:r>
        <w:t xml:space="preserve">12) инновационная деятельность – деятельность (включая научную, научно-техническую, технологическую, инфокоммуникационную, организационную, финансовую и (или) коммерческую деятельность), направленная на создание инноваций;</w:t>
      </w:r>
    </w:p>
    <w:p>
      <w:pPr>
        <w:pStyle w:val="Heading2"/>
      </w:pPr>
      <w:r>
        <w:t xml:space="preserve">Подпункт 13</w:t>
      </w:r>
    </w:p>
    <w:p>
      <w:r>
        <w:t xml:space="preserve">13) организация высшего и (или) послевузовского образования – высшее учебное заведение, реализующее образовательные программы высшего и (или) послевузовского образования и осуществляющее научно-исследовательскую деятельность.</w:t>
      </w:r>
    </w:p>
    <w:p>
      <w:pPr>
        <w:pStyle w:val="Heading2"/>
      </w:pPr>
      <w:r>
        <w:t xml:space="preserve">Глава 2 Порядок проведения оценки результативности научной, научно-технической и инновационной деятельности</w:t>
      </w:r>
    </w:p>
    <w:p>
      <w:pPr>
        <w:pStyle w:val="Heading2"/>
      </w:pPr>
      <w:r>
        <w:t xml:space="preserve">Пункт 3</w:t>
      </w:r>
    </w:p>
    <w:p>
      <w:r>
        <w:t xml:space="preserve">3. Оценка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 осуществляется:</w:t>
      </w:r>
    </w:p>
    <w:p>
      <w:pPr>
        <w:pStyle w:val="Heading2"/>
      </w:pPr>
      <w:r>
        <w:t xml:space="preserve">Подпункт 1</w:t>
      </w:r>
    </w:p>
    <w:p>
      <w:r>
        <w:t xml:space="preserve">1) по показателям научной, научно-технической и инновационной деятельности производственного персонала;</w:t>
      </w:r>
    </w:p>
    <w:p>
      <w:pPr>
        <w:pStyle w:val="Heading2"/>
      </w:pPr>
      <w:r>
        <w:t xml:space="preserve">Подпункт 2</w:t>
      </w:r>
    </w:p>
    <w:p>
      <w:r>
        <w:t xml:space="preserve">2) по уровню инновационной деятельности в условиях клинической практики;</w:t>
      </w:r>
    </w:p>
    <w:p>
      <w:pPr>
        <w:pStyle w:val="Heading2"/>
      </w:pPr>
      <w:r>
        <w:t xml:space="preserve">Подпункт 3</w:t>
      </w:r>
    </w:p>
    <w:p>
      <w:r>
        <w:t xml:space="preserve">3) по показателям научной, научно-технической и инновационной деятельности обучающихся (студентов, интернов, резидентов, магистрантов, докторантов).</w:t>
      </w:r>
    </w:p>
    <w:p>
      <w:pPr>
        <w:pStyle w:val="Heading2"/>
      </w:pPr>
      <w:r>
        <w:t xml:space="preserve">Пункт 4</w:t>
      </w:r>
    </w:p>
    <w:p>
      <w:r>
        <w:t xml:space="preserve">4. Оценка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 осуществляется в соответствии с порядком оценки индикаторов результативности научной, научно-технической и инновационной деятельности согласно приложению 1 к настоящим Правилам.</w:t>
      </w:r>
    </w:p>
    <w:p>
      <w:r>
        <w:t xml:space="preserve">Рабочий орган по проведению оценки результативности научной, научно-технической и инновационной деятельности (далее – рабочий орган) определяется уполномоченным органом. Рабочий орган осуществляет функции организации и технического сопровождения процедуры оценки результативности научной, научно-технической и инновационной деятельности.</w:t>
      </w:r>
    </w:p>
    <w:p>
      <w:pPr>
        <w:pStyle w:val="Heading2"/>
      </w:pPr>
      <w:r>
        <w:t xml:space="preserve">Пункт 5</w:t>
      </w:r>
    </w:p>
    <w:p>
      <w:r>
        <w:t xml:space="preserve">5. При оценке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здравоохранения:</w:t>
      </w:r>
    </w:p>
    <w:p>
      <w:pPr>
        <w:pStyle w:val="Heading2"/>
      </w:pPr>
      <w:r>
        <w:t xml:space="preserve">Подпункт 1</w:t>
      </w:r>
    </w:p>
    <w:p>
      <w:r>
        <w:t xml:space="preserve">1) по показателям научной, научно-технической и инновационной деятельности производственного персонала используется формула:</w:t>
      </w:r>
    </w:p>
    <w:p>
      <w:r>
        <w:t xml:space="preserve">Sa = I1 × Q1 + I2 × Q2 + I3 × Q3 + I4 × Q4 + I5 × Q5 + I6 × Q6,</w:t>
      </w:r>
    </w:p>
    <w:p>
      <w:r>
        <w:t xml:space="preserve">где Sa – суммарная оценка результативности научной и инновационной деятельности организации высшего и (или) послевузовского образования и научной организации в области здравоохранения по показателям научной, научно-технической и инновационной деятельности производственного персонала;</w:t>
      </w:r>
    </w:p>
    <w:p>
      <w:r>
        <w:t xml:space="preserve">I1, .... I6 – сумма оценки по индикаторам 1-6 Приложения 1 к настоящим Правилам;</w:t>
      </w:r>
    </w:p>
    <w:p>
      <w:r>
        <w:t xml:space="preserve">Q1, .... Q6 – весовые коэффициенты соответствующих индикаторов.</w:t>
      </w:r>
    </w:p>
    <w:p>
      <w:pPr>
        <w:pStyle w:val="Heading2"/>
      </w:pPr>
      <w:r>
        <w:t xml:space="preserve">Подпункт 2</w:t>
      </w:r>
    </w:p>
    <w:p>
      <w:r>
        <w:t xml:space="preserve">2) по уровню инновационной деятельности в условиях клинической практики определяется по формуле:</w:t>
      </w:r>
    </w:p>
    <w:p>
      <w:r>
        <w:t xml:space="preserve">Sb = I7,</w:t>
      </w:r>
    </w:p>
    <w:p>
      <w:r>
        <w:t xml:space="preserve">где Sb – суммарная оценка результативности инновационной деятельности в условиях клинической практики научной организации в области здравоохранения клинического профиля и организации высшего и послевузовского образования, имеющей в своем составе университетскую больницу;</w:t>
      </w:r>
    </w:p>
    <w:p>
      <w:r>
        <w:t xml:space="preserve">I7 – сумма оценки по индикатору 7 Приложения 1 к настоящим Правилам;</w:t>
      </w:r>
    </w:p>
    <w:p>
      <w:pPr>
        <w:pStyle w:val="Heading2"/>
      </w:pPr>
      <w:r>
        <w:t xml:space="preserve">Подпункт 3</w:t>
      </w:r>
    </w:p>
    <w:p>
      <w:r>
        <w:t xml:space="preserve">3) по показателям научной, научно-технической и инновационной деятельности обучающихся (студентов, интернов, резидентов, магистрантов, докторантов) определяется по формуле:</w:t>
      </w:r>
    </w:p>
    <w:p>
      <w:r>
        <w:t xml:space="preserve">Sc = I8 × Q8 + I9 × Q9 + I10 × Q10 + I11 × Q11,</w:t>
      </w:r>
    </w:p>
    <w:p>
      <w:r>
        <w:t xml:space="preserve">где Sc – суммарная оценка результативности научной и инновационной деятельности организации высшего и (или) послевузовского образования и научной организации в области здравоохранения по показателям научной, научно-технической и инновационной деятельности обучающихся (студентов, интернов, резидентов, магистрантов, докторантов);</w:t>
      </w:r>
    </w:p>
    <w:p>
      <w:r>
        <w:t xml:space="preserve">I8, .... I11 – сумма оценки по индикаторам 8-11 Приложения 1 к настоящим Правилам;</w:t>
      </w:r>
    </w:p>
    <w:p>
      <w:r>
        <w:t xml:space="preserve">Q8, .... Q11 – весовые коэффициенты соответствующих индикаторов.</w:t>
      </w:r>
    </w:p>
    <w:p>
      <w:pPr>
        <w:pStyle w:val="Heading2"/>
      </w:pPr>
      <w:r>
        <w:t xml:space="preserve">Пункт 6</w:t>
      </w:r>
    </w:p>
    <w:p>
      <w:r>
        <w:t xml:space="preserve">6. Организации высшего и (или) послевузовского образования и научные организации в области здравоохранения предоставляют в рабочий орган до 25 числа месяца, следующего за отчетным периодом, информацию по индикаторам на бумажном или электронном носителях, а также перечень и электронный архив сканированных копий подтверждающих документов по каждому индикатору (электронный архив формируется в разрезе отдельных индикаторов и показателей). Рабочий орган по согласованию с уполномоченным органом определяет форму, по которой представляется информация по индикаторам.</w:t>
      </w:r>
    </w:p>
    <w:p>
      <w:r>
        <w:t xml:space="preserve">Организации высшего и (или) послевузовского образования и научные организации в области здравоохранения представляют подтверждающие документы в соответствии с требованиями, указанными в условиях зачета индикаторов и списке подтверждающих документов по отдельным индикаторам согласно приложению 2 к настоящим Правилам.</w:t>
      </w:r>
    </w:p>
    <w:p>
      <w:pPr>
        <w:pStyle w:val="Heading2"/>
      </w:pPr>
      <w:r>
        <w:t xml:space="preserve">Пункт 7</w:t>
      </w:r>
    </w:p>
    <w:p>
      <w:r>
        <w:t xml:space="preserve">7. Информация по индикаторам, на которую оцениваемая организация не представила подтверждающих документов, при подсчете результатов ранжирования не учитывается и в случае более позднего получения авторами подтверждающих документов засчитывается в показатели следующего отчетного периода.</w:t>
      </w:r>
    </w:p>
    <w:p>
      <w:pPr>
        <w:pStyle w:val="Heading2"/>
      </w:pPr>
      <w:r>
        <w:t xml:space="preserve">Пункт 8</w:t>
      </w:r>
    </w:p>
    <w:p>
      <w:r>
        <w:t xml:space="preserve">8. Оценка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 осуществляется в рамках трех категорий:</w:t>
      </w:r>
    </w:p>
    <w:p>
      <w:pPr>
        <w:pStyle w:val="Heading2"/>
      </w:pPr>
      <w:r>
        <w:t xml:space="preserve">Подпункт 1</w:t>
      </w:r>
    </w:p>
    <w:p>
      <w:r>
        <w:t xml:space="preserve">1) научные организации в области здравоохранения клинического профиля;</w:t>
      </w:r>
    </w:p>
    <w:p>
      <w:pPr>
        <w:pStyle w:val="Heading2"/>
      </w:pPr>
      <w:r>
        <w:t xml:space="preserve">Подпункт 2</w:t>
      </w:r>
    </w:p>
    <w:p>
      <w:r>
        <w:t xml:space="preserve">2) научные организации в области здравоохранения неклинического профиля;</w:t>
      </w:r>
    </w:p>
    <w:p>
      <w:pPr>
        <w:pStyle w:val="Heading2"/>
      </w:pPr>
      <w:r>
        <w:t xml:space="preserve">Подпункт 3</w:t>
      </w:r>
    </w:p>
    <w:p>
      <w:r>
        <w:t xml:space="preserve">3) организации высшего и (или) послевузовского образования в области здравоохранения.</w:t>
      </w:r>
    </w:p>
    <w:p>
      <w:pPr>
        <w:pStyle w:val="Heading2"/>
      </w:pPr>
      <w:r>
        <w:t xml:space="preserve">Пункт 9</w:t>
      </w:r>
    </w:p>
    <w:p>
      <w:r>
        <w:t xml:space="preserve">9. Оценка результативности инновационной деятельности в условиях клинической практики организаций высшего и (или) послевузовского образования и научных организаций в области здравоохранения осуществляется в рамках двух категорий:</w:t>
      </w:r>
    </w:p>
    <w:p>
      <w:pPr>
        <w:pStyle w:val="Heading2"/>
      </w:pPr>
      <w:r>
        <w:t xml:space="preserve">Подпункт 1</w:t>
      </w:r>
    </w:p>
    <w:p>
      <w:r>
        <w:t xml:space="preserve">1) научные организации в области здравоохранения клинического профиля;</w:t>
      </w:r>
    </w:p>
    <w:p>
      <w:pPr>
        <w:pStyle w:val="Heading2"/>
      </w:pPr>
      <w:r>
        <w:t xml:space="preserve">Подпункт 2</w:t>
      </w:r>
    </w:p>
    <w:p>
      <w:r>
        <w:t xml:space="preserve">2) организации высшего и (или) послевузовского образования в области здравоохранения, имеющие в своем составе университетскую больницу.</w:t>
      </w:r>
    </w:p>
    <w:p>
      <w:pPr>
        <w:pStyle w:val="Heading2"/>
      </w:pPr>
      <w:r>
        <w:t xml:space="preserve">Пункт 10</w:t>
      </w:r>
    </w:p>
    <w:p>
      <w:r>
        <w:t xml:space="preserve">10. Результаты оценки результативности научной, научно-технической и инновационной деятельности организаций высшего и (или) послевузовского образования и научных организаций в области здравоохранения рассматриваются на Научном совете уполномоченного органа и служат основанием для пересмотра статуса научной организации в области здравоохранения.</w:t>
      </w:r>
    </w:p>
    <w:p>
      <w:pPr>
        <w:pStyle w:val="Heading2"/>
      </w:pPr>
      <w:r>
        <w:t xml:space="preserve">Пункт 11</w:t>
      </w:r>
    </w:p>
    <w:p>
      <w:r>
        <w:t xml:space="preserve">11. Рабочий орган не менее чем за 10 рабочих дней до внесения результатов оценки результативности научной, научно-технической и инновационной деятельности на рассмотрение Научного совета уполномоченного органа размещает на своем официальном сайте результаты проверки соответствия подтверждающих документов, предоставляемых оцениваемыми организациями, условиям зачета индикаторов, а также информирует оцениваемые организации о результатах проведенной проверки подтверждающих документов.</w:t>
      </w:r>
    </w:p>
    <w:p>
      <w:r>
        <w:t xml:space="preserve">Оцениваемые организации (при наличии несогласия с результатами проверки подтверждающих документов) в течение 5 рабочих дней после размещения на официальном сайте рабочего органа результатов проверки соответствия подтверждающих документов представляют в рабочий орган обоснованную позицию о своем несогласии и (или) дополнительные подтверждающие документы. Результаты рассмотрения представленных документов рабочим органом в течение 5 рабочих дней доводятся до оцениваемой организации в письменном виде.</w:t>
      </w:r>
    </w:p>
    <w:p>
      <w:pPr>
        <w:pStyle w:val="Heading2"/>
      </w:pPr>
      <w:r>
        <w:t xml:space="preserve">Пункт 12</w:t>
      </w:r>
    </w:p>
    <w:p>
      <w:r>
        <w:t xml:space="preserve">12. Рабочий орган в течение 3 рабочих дней после заседания Научного совета уполномоченного органа публикует результаты оценки результативности научной, научно-технической и инновационной деятельности на своем официальном сайте.</w:t>
      </w:r>
    </w:p>
    <w:p>
      <w:r>
        <w:t xml:space="preserve">|  | Приложение 1 к правилам проведения оценки результативности научной, научно-технической и инновационной деятельности |</w:t>
      </w:r>
    </w:p>
    <w:p>
      <w:r>
        <w:t xml:space="preserve">|---|---|</w:t>
      </w:r>
    </w:p>
    <w:p>
      <w:pPr>
        <w:pStyle w:val="Heading2"/>
      </w:pPr>
      <w:r>
        <w:t xml:space="preserve">Глава Порядок оценки индикаторов результативности научной, научно-технической и инновационной деятельности</w:t>
      </w:r>
    </w:p>
    <w:p>
      <w:r>
        <w:t xml:space="preserve">|  | Название индикатора | Порядок оценки компонентов индикатора | Механизм расчета суммарной оценки по индикатору | Весовой коэффициент |</w:t>
      </w:r>
    </w:p>
    <w:p>
      <w:r>
        <w:t xml:space="preserve">|---|---|---|---|---|</w:t>
      </w:r>
    </w:p>
    <w:p>
      <w:r>
        <w:t xml:space="preserve">| № | Компоненты оценки индикатора |  |  |  |</w:t>
      </w:r>
    </w:p>
    <w:p>
      <w:r>
        <w:t xml:space="preserve">| Индикаторы научной, научно-технической и инновационной деятельности производственного персонала |  |  |  |  |</w:t>
      </w:r>
    </w:p>
    <w:p>
      <w:r>
        <w:t xml:space="preserve">| 1 | Объем дохода от научных исследований | (Сумма баллов по показателям 1.1-1.5) / (количество полных ставок производственного персонала в оцениваемой организации) | 0,1 |  |</w:t>
      </w:r>
    </w:p>
    <w:p>
      <w:r>
        <w:t xml:space="preserve">| 1.1 | Объем финансовых средств, привлеченных на проведение исследований в рамках бюджетного программно-целевого финансирования в отчетном году | За каждые 500 тысяч тенге присваивается: 0,2 балла × k1 |  |  |</w:t>
      </w:r>
    </w:p>
    <w:p>
      <w:r>
        <w:t xml:space="preserve">| 1.2 | Объем финансовых средств, привлеченных на проведение исследований в рамках грантового (со стороны резидентов Республики Казахстан) в отчетном году | За каждые 500 тысяч тенге присваивается: 0,2 балла × k1 |  |  |</w:t>
      </w:r>
    </w:p>
    <w:p>
      <w:r>
        <w:t xml:space="preserve">| 1.3 | Объем финансовых средств, привлеченных на проведение исследований в рамках грантового финансирования (со стороны нерезидентов Республики Казахстан и зарубежных грантодателей) в отчетном году | За каждые 500 тысяч тенге присваивается: 0,3 балла × k1 |  |  |</w:t>
      </w:r>
    </w:p>
    <w:p>
      <w:r>
        <w:t xml:space="preserve">| 1.4 | Объем финансовых средств, привлеченных на проведение исследований в рамках иных форм финансирования в отчетном году | За каждые 500 тысяч тенге присваивается: 0,1 балла × k1 |  |  |</w:t>
      </w:r>
    </w:p>
    <w:p>
      <w:r>
        <w:t xml:space="preserve">| 1.5 | Объем финансовых средств, выделенных на проведение исследований в рамках инициативных исследований (самофинансирование) в отчетном году | За каждые 500 тысяч тенге присваивается: 0,15 балла |  |  |</w:t>
      </w:r>
    </w:p>
    <w:p>
      <w:r>
        <w:t xml:space="preserve">| 2 | Количество публикаций в Web of Science (Веб оф Сайнс), Scopus (Скопус), Springer (Спрингер) | (Сумма баллов по показателям 2.1-2.3) / (количество полных ставок производственного персонала в оцениваемой организации) | 0,25 |  |</w:t>
      </w:r>
    </w:p>
    <w:p>
      <w:r>
        <w:t xml:space="preserve">| 2.1 | Статьи в научных изданиях, в базах данных Web of Science (Веб оф Сайнс), Scopus (Скопус), Springer (Спрингер) | За 1 статью присваивается: 10 баллов × k2.1 × k2.2 × k2.3 |  |  |</w:t>
      </w:r>
    </w:p>
    <w:p>
      <w:r>
        <w:t xml:space="preserve">| 2.2 | Научные монографии, индексируемые в базах данных Web of Science (Веб оф Сайнс), Scopus (Скопус), Springer (Спрингер) | За 1 монографию присваивается: 200 баллов × k2.3 |  |  |</w:t>
      </w:r>
    </w:p>
    <w:p>
      <w:r>
        <w:t xml:space="preserve">| 2.3 | Главы в коллективных монографиях, индексируемых в базах данных Web of Science (Веб оф Сайнс), Scopus (Скопус), Springer (Спрингер) | За главу монографии присваивается: 50 баллов× k2.3 |  |  |</w:t>
      </w:r>
    </w:p>
    <w:p>
      <w:r>
        <w:t xml:space="preserve">| 2.4 | Короткие публикации (письмо в редакцию, корреспонденция, комментарий, ответ на комментарий), за исключением материалов конференций | За 1 публикацию присваивается: 1 балл × k2.1 × k2.2 × k2.3 |  |  |</w:t>
      </w:r>
    </w:p>
    <w:p>
      <w:r>
        <w:t xml:space="preserve">| 3 | Цитирование научных работ | ((Сумма баллов по показателям 3.1-3.2) / (количество полных ставок производственного персонала в оцениваемой организации)) + (Сумма баллов по индикаторам 3.3-3.4) | 0,25 |  |</w:t>
      </w:r>
    </w:p>
    <w:p>
      <w:r>
        <w:t xml:space="preserve">| 3.1 | Количество цитирований научных работ (опубликованных в течение 5 последних лет) в отчетном году по данным Web of Science (Веб оф Сайнс) или Scopus (Скопус) (при наличии данных о цитировании научной работы в обоих базах данных используется значение из той базы данных, где цитирование имеет максимальное значение) | За 1 цитирование присваивается: 5 баллов × k3.1 |  |  |</w:t>
      </w:r>
    </w:p>
    <w:p>
      <w:r>
        <w:t xml:space="preserve">| 3.2 | Количество цитирований научных работ (опубликованных в течение 5 последних лет) в отчетном году по данным по данным Google Scholar (Гугл Скулар) | За 1 цитирование присваивается: 0,5 балла × k3.1 |  |  |</w:t>
      </w:r>
    </w:p>
    <w:p>
      <w:r>
        <w:t xml:space="preserve">| 3.3 | Среднее значение квадратов индекса Хирша производственного персонала по данным Web of Science (Веб оф Сайнс) или Scopus (Скопус) (при наличии данных о наличии у сотрудника индекса Хирша в обоих базах данных используется значение из той базы данных, где индекс Хирша имеет максимальное значение) на конец отчетного года | 1 балл × среднее значение квадратов индекса Хирша |  |  |</w:t>
      </w:r>
    </w:p>
    <w:p>
      <w:r>
        <w:t xml:space="preserve">| 3.4 | Среднее значение квадратов индекса Хирша производственного персонала по данным Google Scholar (Гугл Скулар) на конец отчетного года | 0,5 балла × среднее значение квадратов индекса Хирша |  |  |</w:t>
      </w:r>
    </w:p>
    <w:p>
      <w:r>
        <w:t xml:space="preserve">| 4 | Количество патентов и иных охранных документов (в которых в качестве патентообладателя указана сама организация) | (Сумма баллов по показателям 4.1-4.3) / (количество полных ставок производственного персонала в оцениваемой организации) | 0,15 |  |</w:t>
      </w:r>
    </w:p>
    <w:p>
      <w:r>
        <w:t xml:space="preserve">| 4.1 | Патенты, выданные зарубежными или международными патентными агентствами в отчетном году | За 1 патент присваивается: 100 баллов × k4 |  |  |</w:t>
      </w:r>
    </w:p>
    <w:p>
      <w:r>
        <w:t xml:space="preserve">| 4.2 | Патенты РК на изобретение, полезную модель в отчетном году | За 1 патент присваивается: 50 баллов |  |  |</w:t>
      </w:r>
    </w:p>
    <w:p>
      <w:r>
        <w:t xml:space="preserve">| 4.3 | Свидетельство о регистрации объекта интеллектуальной собственности в отчетном году | За 1 свидетельство присваивается: 3 балла |  |  |</w:t>
      </w:r>
    </w:p>
    <w:p>
      <w:r>
        <w:t xml:space="preserve">| 5 | Уровень коммерциализации результатов научных исследований и инновационной деятельности | (Сумма баллов по показателю 5.1) / (количество полных ставок производственного персонала в оцениваемой организации) | 0,15 |  |</w:t>
      </w:r>
    </w:p>
    <w:p>
      <w:r>
        <w:t xml:space="preserve">| 5.1 | Объем полученного дохода в отчетном году от коммерциализации научных разработок и инноваций (на которые получен охранный документ с правообладанием оцениваемой организации в течение последних 3 лет) | 0,2 баллов за каждые 500 тыс. тенге дохода |  |  |</w:t>
      </w:r>
    </w:p>
    <w:p>
      <w:r>
        <w:t xml:space="preserve">| 6 | Уровень участия в международных конференциях и форумах | (Сумма баллов по показателю 5.1 организации) / (количество полных ставок производственного персонала в оцениваемой организации) | 0,1 |  |</w:t>
      </w:r>
    </w:p>
    <w:p>
      <w:r>
        <w:t xml:space="preserve">| 6.1 | Количество публикаций (тезисов, статей) в сборниках материалов международных научных конференций (Conference Proceedings), индексируемых в базах данных научной информации Web of Knowledge (Веб оф Ноулидж) и Scopus (Скопус). | За каждую публикацию присваивается: 10 баллов × k6 |  |  |</w:t>
      </w:r>
    </w:p>
    <w:p>
      <w:r>
        <w:t xml:space="preserve">| Дополнительные индикаторы инновационной деятельности научных организаций в области здравоохранения клинического профиля и университетских больниц организаций высшего и послевузовского образования Индикаторы инновационной деятельности в условиях клинической практики |  |  |  |  |</w:t>
      </w:r>
    </w:p>
    <w:p>
      <w:pPr>
        <w:pStyle w:val="Heading2"/>
      </w:pPr>
      <w:r>
        <w:t xml:space="preserve">1</w:t>
      </w:r>
    </w:p>
    <w:p>
      <w:r>
        <w:t xml:space="preserve">|  | Название индикатора | Порядок оценки компонентов индикатора | Механизм расчета суммарной оценки по индикатору | Весовой коэффициент |</w:t>
      </w:r>
    </w:p>
    <w:p>
      <w:r>
        <w:t xml:space="preserve">|---|---|---|---|---|</w:t>
      </w:r>
    </w:p>
    <w:p>
      <w:r>
        <w:t xml:space="preserve">| Дополнительные индикаторы инновационной деятельности научных организаций в области здравоохранения клинического профиля и университетских больниц организаций высшего и послевузовского образования |  |  |  |  |</w:t>
      </w:r>
    </w:p>
    <w:p>
      <w:r>
        <w:t xml:space="preserve">| 7 | Уровень инновационной активности в условиях клинической практики | (Сумма баллов по показателям 7.1-7.3) / (количество полных ставок производственного персонала в оцениваемой организации) | - |  |</w:t>
      </w:r>
    </w:p>
    <w:p>
      <w:r>
        <w:t xml:space="preserve">| 7.1 | Количество выполняемых в организации высокотехнологичных медицинских услуг (далее – ВТМУ) в отчетном году | За каждую ВТМУ присваивается: 10 баллов |  |  |</w:t>
      </w:r>
    </w:p>
    <w:p>
      <w:r>
        <w:t xml:space="preserve">| 7.2 | Количество видов (кодов) ВТМУ и регионов, в которые были успешно внедрены сотрудниками научной организации / университетской больницы в практическую деятельность организаций здравоохранения областей, г. Алматы, г. Астана г. Шымкент в отчетном году | За каждую ВТМУ присваивается: 2 балла |  |  |</w:t>
      </w:r>
    </w:p>
    <w:p>
      <w:r>
        <w:t xml:space="preserve">| 7.3 | Количество новых видов (кодов) ВТМУ, утвержденных МЗ, инициатором которой был НИИ, НЦ за отчетный период | За каждую ВТМУ присваивается: 12 баллов |  |  |</w:t>
      </w:r>
    </w:p>
    <w:p>
      <w:r>
        <w:t xml:space="preserve">| Индикаторы научной, научно-технической и инновационной деятельности обучающихся (студентов, интернов, резидентов, магистрантов, докторантов) |  |  |  |  |</w:t>
      </w:r>
    </w:p>
    <w:p>
      <w:r>
        <w:t xml:space="preserve">| 8 | Количество публикаций в Web of Science (Веб оф Сайнс), Scopus (Скопус), Springer (Спрингер) | (Сумма баллов по показателям 8.1-8.2) / (Среднегодовая численность резидентов, магистрантов, докторантов в оцениваемой организации) | 0,3 |  |</w:t>
      </w:r>
    </w:p>
    <w:p>
      <w:r>
        <w:t xml:space="preserve">| 8.1 | Статьи в научных изданиях, в базах данных Web of Science (Веб оф Сайнс), Scopus (Скопус), Springer (Спрингер) | За 1 статью присваивается: 10 баллов × k8.1 × k8.2× k8.3 |  |  |</w:t>
      </w:r>
    </w:p>
    <w:p>
      <w:r>
        <w:t xml:space="preserve">| 8.2 | Короткие публикации (письмо в редакцию, корреспонденция, комментарий, ответ на комментарий и т.д.), за исключением материалов конференций | За 1 публикацию присваивается: 1 балл × k2.1 × k2.2 |  |  |</w:t>
      </w:r>
    </w:p>
    <w:p>
      <w:r>
        <w:t xml:space="preserve">| 9 | Цитирование научных работ | (Сумма баллов по показателям 9.1-9.2) / (Среднегодовая численность резидентов, магистрантов, докторантов в оцениваемой организации) | 0,3 |  |</w:t>
      </w:r>
    </w:p>
    <w:p>
      <w:r>
        <w:t xml:space="preserve">| 9.1 | Количество цитирований научных работ (опубликованных в течение 5 последних лет) в отчетном году по данным Web of Science (Веб оф Сайнс) или Scopus (Скопус) (при наличии данных о цитировании научной работы в обоих базах данных используется значение из той базы данных, где цитирование имеет максимальное значение) | За 1 цитирование присваивается: 5 баллов × k9.1 |  |  |</w:t>
      </w:r>
    </w:p>
    <w:p>
      <w:r>
        <w:t xml:space="preserve">| 9.2 | Количество цитирований научных работ (опубликованных в течение 5 последних лет) в отчетном году по данным по данным Google Scholar (Гугл Скулар) | За 1 цитирование присваивается: 0,5 балла × k9.1 |  |  |</w:t>
      </w:r>
    </w:p>
    <w:p>
      <w:r>
        <w:t xml:space="preserve">| 10 | Количество патентов и иных охранных документов (в которых в качестве патентообладателя указана сама организация) | (Сумма баллов по показателям 10.1-10.3) / (Среднегодовая численность резидентов, магистрантов, докторантов в оцениваемой организации) | 0,2 |  |</w:t>
      </w:r>
    </w:p>
    <w:p>
      <w:r>
        <w:t xml:space="preserve">| 10.1 | Патенты, выданные зарубежными или международными патентными агентствами в отчетном году | За 1 патент присваивается: 100 баллов × k10 |  |  |</w:t>
      </w:r>
    </w:p>
    <w:p>
      <w:r>
        <w:t xml:space="preserve">| 10.2 | Патенты РК на изобретение, полезную модель в отчетном году | За 1 патент присваивается: 50 баллов |  |  |</w:t>
      </w:r>
    </w:p>
    <w:p>
      <w:r>
        <w:t xml:space="preserve">| 10.3 | Свидетельство о регистрации объекта интеллектуальной собственности в отчетном году | За 1 свидетельство присваивается: 3 балла |  |  |</w:t>
      </w:r>
    </w:p>
    <w:p>
      <w:r>
        <w:t xml:space="preserve">| 11 | Уровень участия в международных конференциях и форумах | (Сумма баллов по показателям 11.1-11.6) / (Среднегодовая численность резидентов, магистрантов, докторантов в оцениваемой организации) | 0,2 |  |</w:t>
      </w:r>
    </w:p>
    <w:p>
      <w:r>
        <w:t xml:space="preserve">| 11.1 | с устным докладом (с выездом за рубеж) | За 1 доклад присваивается: 6 баллов |  |  |</w:t>
      </w:r>
    </w:p>
    <w:p>
      <w:r>
        <w:t xml:space="preserve">| 11.2 | с постерным докладом (с выездом за рубеж) | За 1 доклад присваивается: 4 балла |  |  |</w:t>
      </w:r>
    </w:p>
    <w:p>
      <w:r>
        <w:t xml:space="preserve">| 11.3 | с устным докладом (на территории РК) | За 1 доклад присваивается: 2 балл |  |  |</w:t>
      </w:r>
    </w:p>
    <w:p>
      <w:r>
        <w:t xml:space="preserve">| 11.4 | с постерным докладом (на территории РК) | За 1 доклад присваивается: 1 балла |  |  |</w:t>
      </w:r>
    </w:p>
    <w:p>
      <w:r>
        <w:t xml:space="preserve">| 11.5 | Количество публикаций (тезисов, статей) в сборниках материалов международных научных конференций (Conference Proceedings), индексируемых в базах данных научной информации Web of Science (Веб оф Сайнс) или Scopus (Скопус) | За каждую публикацию присваивается: 10 баллов × k11 |  |  |</w:t>
      </w:r>
    </w:p>
    <w:p>
      <w:r>
        <w:t xml:space="preserve">| 11.6 | с публикацией тезиса (статьи) в сборнике материалов конференции, индексируемом базами данных научной информации РК и стран СНГ | За 1 тезис присваивается: 0,5 балл | 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Пункт 1</w:t>
      </w:r>
    </w:p>
    <w:p>
      <w:r>
        <w:t xml:space="preserve">1. Коэффициент k1 = 0,1 применяется к объему средств, которые организация администрирует в качестве головной организации за вычетом объема средств, осваиваемых самостоятельно. В отношении объема средств, которые организация, осваивает самостоятельно коэффициент k1 не применяется (например, организация получает программно-целевое финансирование 10 000 тыс. тенге, из них сама осваивает 1 000 тыс. тенге, а 9 000 тыс. тенге отдает соисполнителям. Формула расчета будет следующей – ((1000/500)×0,2)+(9000/500)×0,2×0,1).</w:t>
      </w:r>
    </w:p>
    <w:p>
      <w:pPr>
        <w:pStyle w:val="Heading2"/>
      </w:pPr>
      <w:r>
        <w:t xml:space="preserve">Пункт 2</w:t>
      </w:r>
    </w:p>
    <w:p>
      <w:r>
        <w:t xml:space="preserve">2. Для индикаторов 2, 3, 8 и 9 учитываются публикации, в которых авторы или один из авторов аффилирован с оцениваемой организацией (в публикации указана принадлежность автора к оцениваемой организации).</w:t>
      </w:r>
    </w:p>
    <w:p>
      <w:pPr>
        <w:pStyle w:val="Heading2"/>
      </w:pPr>
      <w:r>
        <w:t xml:space="preserve">Пункт 3</w:t>
      </w:r>
    </w:p>
    <w:p>
      <w:r>
        <w:t xml:space="preserve">3. Коэффициент k2.1 = 1 если журнал имеет квартиль Q4; k2.1 = 10 если журнал имеет квартиль Q3; k2.1 = 20 если журнал имеет квартиль Q2; k2.1 = 30 если журнал имеет квартиль Q1.</w:t>
      </w:r>
    </w:p>
    <w:p>
      <w:pPr>
        <w:pStyle w:val="Heading2"/>
      </w:pPr>
      <w:r>
        <w:t xml:space="preserve">Пункт 4</w:t>
      </w:r>
    </w:p>
    <w:p>
      <w:r>
        <w:t xml:space="preserve">4. Коэффициент k2.2 = 0,5 применяется если публикация опубликована на государственном, русском языке (и иных государственных языках стран СНГ).</w:t>
      </w:r>
    </w:p>
    <w:p>
      <w:pPr>
        <w:pStyle w:val="Heading2"/>
      </w:pPr>
      <w:r>
        <w:t xml:space="preserve">Пункт 5</w:t>
      </w:r>
    </w:p>
    <w:p>
      <w:r>
        <w:t xml:space="preserve">5. Коэффициент k2.3 = 1 применяется для статей и коротких публикаций, в которых автор, аффилированный с оцениваемой организацией, является "correspondence author" или входит в число первых пяти авторов, а для монографий и граф монографий – автор, аффилированный с оцениваемой организацией, входит в число первых десяти авторов; в иных случаях k2.3 = 0,5.</w:t>
      </w:r>
    </w:p>
    <w:p>
      <w:pPr>
        <w:pStyle w:val="Heading2"/>
      </w:pPr>
      <w:r>
        <w:t xml:space="preserve">Пункт 6</w:t>
      </w:r>
    </w:p>
    <w:p>
      <w:r>
        <w:t xml:space="preserve">6. Коэффициент k3.1 = 1 применяется для научных работ, в которых автор, аффилированный с оцениваемой организацией, является "correspondence author" или входит в число первых пяти авторов, а для монографий и граф монографий – автор, аффилированный с оцениваемой организацией, входит в число первых десяти авторов; в иных случаях k3. 1 = 0,5.</w:t>
      </w:r>
    </w:p>
    <w:p>
      <w:pPr>
        <w:pStyle w:val="Heading2"/>
      </w:pPr>
      <w:r>
        <w:t xml:space="preserve">Пункт 7</w:t>
      </w:r>
    </w:p>
    <w:p>
      <w:r>
        <w:t xml:space="preserve">7. Среднее значение квадратов индекса Хирша производственного персонала рассчитываются по формуле = (h1)2+(h2)2+(h3)2+…(hn)2/n, где h1, h2, h3, …hn – индексы Хирша отдельных физических лиц производственного персонала, n – численность физических лиц, занимающих должности производительного персонала.</w:t>
      </w:r>
    </w:p>
    <w:p>
      <w:pPr>
        <w:pStyle w:val="Heading2"/>
      </w:pPr>
      <w:r>
        <w:t xml:space="preserve">Пункт 8</w:t>
      </w:r>
    </w:p>
    <w:p>
      <w:r>
        <w:t xml:space="preserve">8. Коэффициент k4 = 1,5 применяется, если патент включен в базу данных Web of Science.</w:t>
      </w:r>
    </w:p>
    <w:p>
      <w:pPr>
        <w:pStyle w:val="Heading2"/>
      </w:pPr>
      <w:r>
        <w:t xml:space="preserve">Пункт 9</w:t>
      </w:r>
    </w:p>
    <w:p>
      <w:r>
        <w:t xml:space="preserve">9. Коэффициент k6 = 0,5 применяется если публикация опубликована на государственном, русском языке (и иных государственных языках стран СНГ).</w:t>
      </w:r>
    </w:p>
    <w:p>
      <w:pPr>
        <w:pStyle w:val="Heading2"/>
      </w:pPr>
      <w:r>
        <w:t xml:space="preserve">Пункт 10</w:t>
      </w:r>
    </w:p>
    <w:p>
      <w:r>
        <w:t xml:space="preserve">10. Для компонента индикатора 7.2 - одельный балл дается за каждую успешно внедренное ВТМУ в каждой отдельной области, г. Алматы, г. Астана, г. Шымкент в организации здравоохранения, подтвержденную соответствующей оплатой из Фонда – 2 балла</w:t>
      </w:r>
    </w:p>
    <w:p>
      <w:pPr>
        <w:pStyle w:val="Heading2"/>
      </w:pPr>
      <w:r>
        <w:t xml:space="preserve">Пункт 11</w:t>
      </w:r>
    </w:p>
    <w:p>
      <w:r>
        <w:t xml:space="preserve">11. Коэффициент k8.1 = 1 если журнал имеет квартиль Q4; k8.1 = 10 если журнал имеет квартиль Q3; k8.1 = 20 если журнал имеет квартиль Q2; k8.1 = 30 если журнал имеет квартиль Q1.</w:t>
      </w:r>
    </w:p>
    <w:p>
      <w:pPr>
        <w:pStyle w:val="Heading2"/>
      </w:pPr>
      <w:r>
        <w:t xml:space="preserve">Пункт 12</w:t>
      </w:r>
    </w:p>
    <w:p>
      <w:r>
        <w:t xml:space="preserve">12. Коэффициент k8.2 = 0,5 применяется если публикация опубликована на государственном, русском языке (и иных государственных языках стран СНГ).</w:t>
      </w:r>
    </w:p>
    <w:p>
      <w:pPr>
        <w:pStyle w:val="Heading2"/>
      </w:pPr>
      <w:r>
        <w:t xml:space="preserve">Пункт 13</w:t>
      </w:r>
    </w:p>
    <w:p>
      <w:r>
        <w:t xml:space="preserve">13. Коэффициент k8.3 = 1 применяется для статей и коротких публикаций, в которых автор, аффилированный с оцениваемой организацией, является "correspondence author" или входит в число первых пяти авторов; в иных случаях k8.3 = 0,5.</w:t>
      </w:r>
    </w:p>
    <w:p>
      <w:pPr>
        <w:pStyle w:val="Heading2"/>
      </w:pPr>
      <w:r>
        <w:t xml:space="preserve">Пункт 14</w:t>
      </w:r>
    </w:p>
    <w:p>
      <w:r>
        <w:t xml:space="preserve">14. Коэффициент k9.1 = 1 применяется для научных работ, в которых автор, аффилированный с оцениваемой организацией, является "correspondence author" или входит в число первых пяти авторов; в иных случаях k9.1 = 0,5.</w:t>
      </w:r>
    </w:p>
    <w:p>
      <w:pPr>
        <w:pStyle w:val="Heading2"/>
      </w:pPr>
      <w:r>
        <w:t xml:space="preserve">Пункт 15</w:t>
      </w:r>
    </w:p>
    <w:p>
      <w:r>
        <w:t xml:space="preserve">15. Коэффициент k10 = 1,5 применяется, если патент включен в базу данных Web of Science.</w:t>
      </w:r>
    </w:p>
    <w:p>
      <w:pPr>
        <w:pStyle w:val="Heading2"/>
      </w:pPr>
      <w:r>
        <w:t xml:space="preserve">Пункт 16</w:t>
      </w:r>
    </w:p>
    <w:p>
      <w:r>
        <w:t xml:space="preserve">16. Коэффициент k11 = 0,5 применяется если публикация опубликована на государственном, русском языке (и иных государственных языках стран СНГ).</w:t>
      </w:r>
    </w:p>
    <w:p>
      <w:r>
        <w:t xml:space="preserve">|  | Приложение 2 к правилам проведения оценки результативности научной, научно-технической и инновационной деятельности |</w:t>
      </w:r>
    </w:p>
    <w:p>
      <w:r>
        <w:t xml:space="preserve">|---|---|</w:t>
      </w:r>
    </w:p>
    <w:p>
      <w:pPr>
        <w:pStyle w:val="Heading2"/>
      </w:pPr>
      <w:r>
        <w:t xml:space="preserve">Глава Условия зачета индикаторов и список подтверждающих документов по отдельным индикаторам</w:t>
      </w:r>
    </w:p>
    <w:p>
      <w:r>
        <w:t xml:space="preserve">| № | Название индикатора | Подтверждающие документы, предоставляемые оцениваемой организацией |  |</w:t>
      </w:r>
    </w:p>
    <w:p>
      <w:r>
        <w:t xml:space="preserve">|---|---|---|---|</w:t>
      </w:r>
    </w:p>
    <w:p>
      <w:r>
        <w:t xml:space="preserve">| 1 | Объем дохода от научных исследований | 1. Перечень научных программ и проектов с указанием источника финансирования, сроков реализации, объема финансирования, соисполнителей и (или) партнеров; 2. Подтверждение регистрации темы научного исследования в национальном центре научно-технической информации; 3. Копия договора с финансирующей организацией |  |</w:t>
      </w:r>
    </w:p>
    <w:p>
      <w:r>
        <w:t xml:space="preserve">| 2 | Количество публикаций в Web of Science, Scopus, Springer | 1. Перечень публикаций с указанием их выходных данных, квартиля журнала и наименования базы даны, в которой индексируется журнал; 2. Для каждой статьи указывается актуальная веб-ссылка на страницу публикации в базе данных Web of Science (Веб оф Сайнс), Scopus (Скопус), Springer (Спрингер) |  |</w:t>
      </w:r>
    </w:p>
    <w:p>
      <w:r>
        <w:t xml:space="preserve">| 3 | Цитирование научных работ | Количество цитирований научных работ | 1. Перечень статей, которые были опубликованы в течение последних 5 лет, с указанием количество цитирований каждой статьи в Web of Science (Веб оф Сайнс), Scopus (Скопус), Google Scholar (Гугл Скулар) в отчетном году; 2. Для каждой статьи указывается актуальная веб-ссылка на страницу с перечнем цитирований данной статьи |</w:t>
      </w:r>
    </w:p>
    <w:p>
      <w:r>
        <w:t xml:space="preserve">| Среднее значение квадратов индекса Хирша производственного персонала | 1. Перечень всех сотрудников из производственного персонала, имеющих индекс Хирша с указанием значения индекса Хирша в Web of Science (Веб оф Сайнс) и Scopus (Скопус) |  |  |</w:t>
      </w:r>
    </w:p>
    <w:p>
      <w:r>
        <w:t xml:space="preserve">| 4 | Количество патентов и иных охранных документов | 1. Перечень патентов с указанием патентообладателя, агентства выдавшего патент, даты выдачи патента и регистрационного номера; 2. Прикладывается копия свидетельства о выдаче патента (справка о положительном решении на выдачу патента не засчитывается!); 3. Для патента, включенного в базу данных Web of Science (Веб оф Сайнс), указывается актуальная веб-ссылка на страницу в базе данных Web of Science (Веб оф Сайнс) |  |</w:t>
      </w:r>
    </w:p>
    <w:p>
      <w:r>
        <w:t xml:space="preserve">| 5 | Уровень коммерциализации результатов научных исследований и инновационной деятельности | 1. Перечень коммерциализованных технологий с указанием наименования и регистрационных данных (номер и дата) охранного документа (который выдан в течение 3 последних лет), объема полученного дохода прибыли в отчетном году; 2. Копия лицензионного договора, договора о передаче патентных прав, иных договоров между патентообладателем и лицом, которому передается право на использование технологии. 3. Для медицинских технологий, включенных в перечень возмещаемых в рамках гарантированного объема бесплатной медицинской помощи (далее – ГОБМП) и обязательного социального медицинского страхования (далее – ОСМС) – протокольное решение или выписка из протокола Объединенной комиссии по качеству медицинских услуг о включении данной медицинской технологии в перечень возмещаемых в рамках ГОБМП и ОСМС (за последние 3 года). |  |</w:t>
      </w:r>
    </w:p>
    <w:p>
      <w:r>
        <w:t xml:space="preserve">| 6 | Уровень участия в международных конференциях и форумах | 1. Перечень тезисов (статей) с указанием авторов, даты и места проведения конференции, выходных данных опубликованных тезисов, базы данных, в которой индексируется сборник; 2. Для каждого тезиса (статьи) указывается актуальная веб-ссылка с сайта базы данных научной информации, где указана информация об индексируемом научном сборнике. Для докладов конференций: 1. Перечень докладов и (или) тезисов с указанием докладчиков и (или) авторов, даты и места проведения конференции, выходных данных опубликованных тезисов, базы данных, в которой индексируется сборник 2. Копии программ конференций, опубликованных статей |  |</w:t>
      </w:r>
    </w:p>
    <w:p>
      <w:r>
        <w:t xml:space="preserve">| 7 | Уровень инновационной активности в условиях клинической практики | 1. Перечень выполняемых ВТМУ в научной организации/ университетской больнице из ИС "Система управления качеством медицинских услуг" за отчетный период; 2. Самоотчет об успешно внедренных научной организацией / университетской клиникой ВТМУ в организациях здравоохранения областей, городов Алматы, Астана и Шымкент; 3. Самоотчет научной организации и (или) университетской клиники об утвержденных новых ВТМУ за отчетный период |  |</w:t>
      </w:r>
    </w:p>
    <w:p>
      <w:r>
        <w:t xml:space="preserve">| 8 | Количество должностных единиц (ставок) производственного персонала на последний день отчетного периода (показатель используемый при расчете балльной оценки для всех индикаторов) | 1. Таблица с указанием количества должностных единиц (ставок) и общей численности производственного персонала, в том числе в разрезе отдельных категорий производственного персонала, заверенная подписью первого руководителя оцениваемой организации. |  |</w:t>
      </w:r>
    </w:p>
    <w:p>
      <w:r>
        <w:t xml:space="preserve">| 9 | Среднегодовая численность резидентов, магистрантов, докторантов в оцениваемой организации | 1. Таблица с указанием среднегодовой численности обучающихся в разрезе отдельных категорий (студенты, интерны, магистранты, докторанты, резиденты), заверенная подписью первого руководителя оцениваемой организации.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