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 Министра здравоохранения Республики Казахстан от 9 декабря 2020 года № ҚР ДСМ-243/2020 "Об утверждении правил выдачи и срока действия сертификата соответствия требованиям деятельности биоэтических комиссий".</w:t>
      </w:r>
    </w:p>
    <w:p>
      <w:r>
        <w:t xml:space="preserve">Приказ, Изменения. Министерство здравоохранения Республики Казахстан (Образован Указом Президента РК от 25.01.2017 г. № 412; старое название: Министерство здравоохранения и социального развития РК; Комитет здравоохранения Минобразования, культуры и здравоохранения РК; Комитет здравоохранения Министерства здравоохранения, образования и спорта РК; Аген-во РК по делам здравоохр.). от 31.03.2023. № 178863. редакция от 31.03.2023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здравоохранения Республики Казахстан от 9 декабря 2020 года № ҚР ДСМ-243/2020 "Об утверждении правил выдачи и срока действия сертификата соответствия требованиям деятельности биоэтических комиссий" (зарегистрирован в Реестре государственной регистрации нормативных правовых актов под № 21774) следующие изменения:</w:t>
      </w:r>
    </w:p>
    <w:p>
      <w:r>
        <w:t xml:space="preserve">преамбулу изложить в следующей редакции:</w:t>
      </w:r>
    </w:p>
    <w:p>
      <w:r>
        <w:t xml:space="preserve">"В соответствии c пунктом 10 статьи 228 Кодекса Республики Казахстан "О здоровье народа и системе здравоохранения" ПРИКАЗЫВАЮ: ";</w:t>
      </w:r>
    </w:p>
    <w:p>
      <w:r>
        <w:t xml:space="preserve">в Правилах выдачи и срока действия сертификата соответствия требованиям деятельности биоэтических комиссий, утвержденных указанным приказом:</w:t>
      </w:r>
    </w:p>
    <w:p>
      <w:r>
        <w:t xml:space="preserve">пункт 1 изложить в следующей редакции:</w:t>
      </w:r>
    </w:p>
    <w:p>
      <w:r>
        <w:t xml:space="preserve">"1. Правила выдачи и срока действия сертификата соответствия требованиям деятельности биоэтических комиссий (далее – Правила), разработаны в соответствии с Кодексом Республики Казахстан "О здоровье народа и системе здравоохранения" (далее – Кодекс) и определяют порядок выдачи и срока действия сертификата соответствия требованиям деятельности биоэтических комиссий (далее – сертификат).";</w:t>
      </w:r>
    </w:p>
    <w:p>
      <w:r>
        <w:t xml:space="preserve">пункт 3 изложить в следующей редакции:</w:t>
      </w:r>
    </w:p>
    <w:p>
      <w:r>
        <w:t xml:space="preserve">"3. Сертификат соответствия требованиям деятельности биоэтических комиссий выдается на основе проведения инспектирования ЛКБ, включающего следующие этапы:</w:t>
      </w:r>
    </w:p>
    <w:p>
      <w:pPr>
        <w:pStyle w:val="Heading2"/>
      </w:pPr>
      <w:r>
        <w:t xml:space="preserve">Подпункт 1</w:t>
      </w:r>
    </w:p>
    <w:p>
      <w:r>
        <w:t xml:space="preserve">1) самооценка, проводимая ЛКБ с использованием формы самооценки согласно требованиям Стандартов деятельности биоэтических комиссий, утверждаемых ЦКБ согласно подпункту 4) пункта 3 статьи 228 Кодекса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проверка соответствия ЛКБ требованиям деятельности биоэтических комиссий на месте, проводимая инспектором в рамках посещения ЛКБ (далее – проверка на месте);</w:t>
      </w:r>
    </w:p>
    <w:p>
      <w:pPr>
        <w:pStyle w:val="Heading2"/>
      </w:pPr>
      <w:r>
        <w:t xml:space="preserve">Подпункт 3</w:t>
      </w:r>
    </w:p>
    <w:p>
      <w:r>
        <w:t xml:space="preserve">3) наблюдение за заседанием ЛКБ, осуществляемое инспектором в рамках посещения ЛКБ.</w:t>
      </w:r>
    </w:p>
    <w:p>
      <w:r>
        <w:t xml:space="preserve">Для проведения инспектирования ЛКБ и выдачи сертификата соответствия требованиям деятельности биоэтических комиссий ЦКБ формирует базу независимых инспекторов и осуществляет их обучение в соответствии с требованиями Стандартов.";</w:t>
      </w:r>
    </w:p>
    <w:p>
      <w:r>
        <w:t xml:space="preserve">в пункте 9 :</w:t>
      </w:r>
    </w:p>
    <w:p>
      <w:r>
        <w:t xml:space="preserve">подпункт 4) изложить в следующей редакции:</w:t>
      </w:r>
    </w:p>
    <w:p>
      <w:r>
        <w:t xml:space="preserve">"4) проверку размещения ЛКБ и имеющихся условий функционирования комиссии;";</w:t>
      </w:r>
    </w:p>
    <w:p>
      <w:r>
        <w:t xml:space="preserve">в пункте 10 :</w:t>
      </w:r>
    </w:p>
    <w:p>
      <w:r>
        <w:t xml:space="preserve">подпункт 2) изложить в следующей редакции:</w:t>
      </w:r>
    </w:p>
    <w:p>
      <w:r>
        <w:t xml:space="preserve">"2) отдельно от проверки на месте (если даты заседания ЛКБ и проверки на месте не совпадают).</w:t>
      </w:r>
    </w:p>
    <w:p>
      <w:r>
        <w:t xml:space="preserve">ЛКБ за 3 рабочих дня до проведения совещания предоставляет инспекторам копию соответствующей повестки дня на наблюдаемое заседание.</w:t>
      </w:r>
    </w:p>
    <w:p>
      <w:r>
        <w:t xml:space="preserve">Инспектора не принимают участия в заседании и присутствуют только в качестве наблюдателя.</w:t>
      </w:r>
    </w:p>
    <w:p>
      <w:r>
        <w:t xml:space="preserve">Результаты наблюдения за заседанием ЛКБ включаются в отчет инспектора (далее – отчет) и рекомендации для плана действий по устранению несоответствий (далее – план действий).";</w:t>
      </w:r>
    </w:p>
    <w:p>
      <w:r>
        <w:t xml:space="preserve">пункт 16 изложить в следующей редакции:</w:t>
      </w:r>
    </w:p>
    <w:p>
      <w:r>
        <w:t xml:space="preserve">"16. Инспектора предоставляют в ЦКБ следующий единый пакет документов:</w:t>
      </w:r>
    </w:p>
    <w:p>
      <w:pPr>
        <w:pStyle w:val="Heading2"/>
      </w:pPr>
      <w:r>
        <w:t xml:space="preserve">Подпункт 1</w:t>
      </w:r>
    </w:p>
    <w:p>
      <w:r>
        <w:t xml:space="preserve">1) акт передачи;</w:t>
      </w:r>
    </w:p>
    <w:p>
      <w:pPr>
        <w:pStyle w:val="Heading2"/>
      </w:pPr>
      <w:r>
        <w:t xml:space="preserve">Подпункт 2</w:t>
      </w:r>
    </w:p>
    <w:p>
      <w:r>
        <w:t xml:space="preserve">2) отчет по результатам инспектирования ЛКБ;</w:t>
      </w:r>
    </w:p>
    <w:p>
      <w:pPr>
        <w:pStyle w:val="Heading2"/>
      </w:pPr>
      <w:r>
        <w:t xml:space="preserve">Подпункт 3</w:t>
      </w:r>
    </w:p>
    <w:p>
      <w:r>
        <w:t xml:space="preserve">3) план действий с информацией по его исполнению;</w:t>
      </w:r>
    </w:p>
    <w:p>
      <w:pPr>
        <w:pStyle w:val="Heading2"/>
      </w:pPr>
      <w:r>
        <w:t xml:space="preserve">Подпункт 4</w:t>
      </w:r>
    </w:p>
    <w:p>
      <w:r>
        <w:t xml:space="preserve">4) форму самооценки;</w:t>
      </w:r>
    </w:p>
    <w:p>
      <w:pPr>
        <w:pStyle w:val="Heading2"/>
      </w:pPr>
      <w:r>
        <w:t xml:space="preserve">Подпункт 5</w:t>
      </w:r>
    </w:p>
    <w:p>
      <w:r>
        <w:t xml:space="preserve">5) чек-лист проверки исследовательских файлов;</w:t>
      </w:r>
    </w:p>
    <w:p>
      <w:pPr>
        <w:pStyle w:val="Heading2"/>
      </w:pPr>
      <w:r>
        <w:t xml:space="preserve">Подпункт 6</w:t>
      </w:r>
    </w:p>
    <w:p>
      <w:r>
        <w:t xml:space="preserve">6) чек-лист наблюдения за заседанием ЛКБ.".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науки и человеческих ресурсов Министерства здравоохранения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здравоохранения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здравоохранения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здравоохранения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и.о. Министра здравоохранения Республики Казахстан | А. Ғиният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