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11 декабря 2020 года № ҚР ДСМ-249/2020 "Об утверждении правил оценки знаний и навыков обучающихся, оценки профессиональной подготовленности выпускников образовательных программ в области здравоохранения и специалистов в области здравоохранения"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20.03.2023. № 179179. редакция от 20.03.2023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11декабря 2020 года № ҚР ДСМ-249/2020 "Об утверждении правил оценки знаний и навыков обучающихся, оценки профессиональной подготовленности выпускников образовательных программ в области здравоохранения и специалистов в области здравоохранения" (зарегистрирован в Реестре государственной регистрации нормативных правовых актов под № 21763) следующие изменения и дополнения:</w:t>
      </w:r>
    </w:p>
    <w:p>
      <w:r>
        <w:t xml:space="preserve">в Правилах оценки знаний и навыков обучающихся образовательных программ в области здравоохранения, утвержденных приложением 1 к указанному приказу: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оценки знаний и навыков обучающихся образовательных программ в области здравоохранения (далее – Правила) разработаны в соответствии с пунктом 6 статьи 223 Кодекса Республики Казахстан "О здоровье народа и системе здравоохранения" и определяют порядок оценки знаний и навыков обучающихся образовательных программ в области здравоохранения (далее – обучающиеся).";</w:t>
      </w:r>
    </w:p>
    <w:p>
      <w:r>
        <w:t xml:space="preserve">наименование Главы 2 изложить в следующей редакции:</w:t>
      </w:r>
    </w:p>
    <w:p>
      <w:r>
        <w:t xml:space="preserve">"Глава 2. Порядок организации и проведения оценки знаний и навыков обучающихся образовательных программ непрерывного интегрированного медицинского образования";</w:t>
      </w:r>
    </w:p>
    <w:p>
      <w:r>
        <w:t xml:space="preserve">пункт 6 изложить в следующей редакции:</w:t>
      </w:r>
    </w:p>
    <w:p>
      <w:r>
        <w:t xml:space="preserve">"6. Оценке подлежат обучающиеся образовательных программ непрерывного медицинского образования по завершению освоения цикла базовых дисциплин.";</w:t>
      </w:r>
    </w:p>
    <w:p>
      <w:r>
        <w:t xml:space="preserve">пункт 10 изложить в следующей редакции:</w:t>
      </w:r>
    </w:p>
    <w:p>
      <w:r>
        <w:t xml:space="preserve">"10. Оценка обучающихся проводится организацией по оценке.</w:t>
      </w:r>
    </w:p>
    <w:p>
      <w:r>
        <w:t xml:space="preserve">Оценка знаний и навыков проводится на базе организации по оценке или организаций образования в области здравоохранения по согласованию.</w:t>
      </w:r>
    </w:p>
    <w:p>
      <w:r>
        <w:t xml:space="preserve">Разработка, экспертиза и обновление экзаменационного материала осуществляется организацией по оценке. Спецификации тестов и перечень оценки навыков согласовываются с учебно-методическими объединениями по направлению подготовки кадров здравоохранения.";</w:t>
      </w:r>
    </w:p>
    <w:p>
      <w:r>
        <w:t xml:space="preserve">в Правилах оценки профессиональной подготовленности выпускников образовательных программ в области здравоохранения, утвержденных приложением 2 к указанному приказу: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оценки профессиональной подготовленности выпускников образовательных программ в области здравоохранения (далее – Правила) разработаны в соответствии с пунктом 6 статьи 223 Кодекса Республики Казахстан "О здоровье народа и системе здравоохранения" и определяют порядок проведения оценки профессиональной подготовленности выпускников образовательных программ в области здравоохранения (далее – выпускники).";</w:t>
      </w:r>
    </w:p>
    <w:p>
      <w:r>
        <w:t xml:space="preserve">пункт 7 изложить в следующей редакции:</w:t>
      </w:r>
    </w:p>
    <w:p>
      <w:r>
        <w:t xml:space="preserve">"7. Оценка выпускников проводится на платной основе за счет средств организаций образования в области здравоохранения. В случаях повторной сдачи и (или) неявки по уважительной причине оплата не производится. В случаях повторной сдачи и (или) неявки по неуважительной причине оплата производится за счет личных средств выпускников или иных источников, не запрещенных законодательством Республики Казахстан.";</w:t>
      </w:r>
    </w:p>
    <w:p>
      <w:r>
        <w:t xml:space="preserve">пункт 9 изложить в следующей редакции:</w:t>
      </w:r>
    </w:p>
    <w:p>
      <w:r>
        <w:t xml:space="preserve">"9. Оценка выпускников проводится организацией по оценке.</w:t>
      </w:r>
    </w:p>
    <w:p>
      <w:r>
        <w:t xml:space="preserve">Оценка знаний и навыков проводится на базе организации по оценке или организаций образования в области здравоохранения по согласованию.</w:t>
      </w:r>
    </w:p>
    <w:p>
      <w:r>
        <w:t xml:space="preserve">Разработка, экспертиза и обновления экзаменационного материала осуществляется организацией по оценке. Сертификации тестов и перечень оценки навыков согласовываются с учебно-методическими объединениями по направлению подготовки кадров здравоохранения.</w:t>
      </w:r>
    </w:p>
    <w:p>
      <w:r>
        <w:t xml:space="preserve">Обновление базы экзаменационных материалов производится за месяц до проведения оценки выпускников.</w:t>
      </w:r>
    </w:p>
    <w:p>
      <w:r>
        <w:t xml:space="preserve">К разработке экзаменационного материала привлекаются эксперты всех уровней образования.</w:t>
      </w:r>
    </w:p>
    <w:p>
      <w:r>
        <w:t xml:space="preserve">По результатам итоговой государственной аттестации организация оценки предоставляет анализ качества знаний выпускников.";</w:t>
      </w:r>
    </w:p>
    <w:p>
      <w:r>
        <w:t xml:space="preserve">пункты 13 , 14 изложить в следующей редакции:</w:t>
      </w:r>
    </w:p>
    <w:p>
      <w:r>
        <w:t xml:space="preserve">"13. Оценка знаний выпускников проводится автоматизированным компьютерным тестированием с помощью тестовых вопросов.</w:t>
      </w:r>
    </w:p>
    <w:p>
      <w:r>
        <w:t xml:space="preserve">Пороговый балл оценки знаний устанавливается организацией по оценке по согласованию с учебно-методическими объединениями.</w:t>
      </w:r>
    </w:p>
    <w:p>
      <w:r>
        <w:t xml:space="preserve">Протокол результатов оценки знаний без учета апелляции предоставляется в организации образования в области здравоохранения в день проведения оценки знаний, подписанный руководителем организации по оценке.</w:t>
      </w:r>
    </w:p>
    <w:p>
      <w:pPr>
        <w:pStyle w:val="Heading2"/>
      </w:pPr>
      <w:r>
        <w:t xml:space="preserve">Пункт 14</w:t>
      </w:r>
    </w:p>
    <w:p>
      <w:r>
        <w:t xml:space="preserve">14. Оценка знаний и навыков проводится на базе организации по оценке или организаций образования в области здравоохранения по согласованию.";</w:t>
      </w:r>
    </w:p>
    <w:p>
      <w:r>
        <w:t xml:space="preserve">пункт 20 изложить в следующей редакции:</w:t>
      </w:r>
    </w:p>
    <w:p>
      <w:r>
        <w:t xml:space="preserve">"20. Допуск к повторному прохождению оценки профессиональной подготовленности (итоговой аттестации) по уважительной причине выпускника (в связи с состоянием здоровья, призывом на воинскую службу или иным объективным причинам, подтвержденным соответствующими документами) осуществляется на основании положительного решения ГАК. Повторное прохождение оценки знаний и (или) навыков с целью повышения положительной оценки не допускается.</w:t>
      </w:r>
    </w:p>
    <w:p>
      <w:r>
        <w:t xml:space="preserve">Срок прохождения повторной оценки профессиональной подготовленности (итоговой аттестации) при неудовлетворительном результате первого или второго этапа оценки осуществляется через 6 (шесть) месяцев на основании решения Республиканской апелляционной комиссии.</w:t>
      </w:r>
    </w:p>
    <w:p>
      <w:r>
        <w:t xml:space="preserve">Выпускникам, получившим неудовлетворительный результат при повторной оценке профессиональной подготовленности, выдается справка установленного образца.";</w:t>
      </w:r>
    </w:p>
    <w:p>
      <w:r>
        <w:t xml:space="preserve">наименование главы 3 изложить в следующей редакции:</w:t>
      </w:r>
    </w:p>
    <w:p>
      <w:r>
        <w:t xml:space="preserve">"Глава 3. Порядок подачи и рассмотрения апелляционных заявлений в Республиканскую апелляционную комиссию";</w:t>
      </w:r>
    </w:p>
    <w:p>
      <w:r>
        <w:t xml:space="preserve">пункты 25 , 26 , 27 , 28 изложить в следующей редакции:</w:t>
      </w:r>
    </w:p>
    <w:p>
      <w:r>
        <w:t xml:space="preserve">"25. В случае несогласия с результатами первого или второго этапов оценки, выпускник подает на апелляцию в течение 24 часов после проведения апеллируемого этапа оценки в организацию по оценке. Организация по оценке после завершения первого или второго этапа оценки формирует апелляционные заявления в течении трех рабочих дней и направляет в Республиканскую апелляционную комиссию для рассмотрения.</w:t>
      </w:r>
    </w:p>
    <w:p>
      <w:r>
        <w:t xml:space="preserve">Секретарь Республиканской апелляционной комиссии принимает и регистрирует апелляционные заявления и материалы оценки заявителя, которые включают аудио- и видео-записи оценки, оценочный (оценочные) лист (листы) от организации по оценке.</w:t>
      </w:r>
    </w:p>
    <w:p>
      <w:pPr>
        <w:pStyle w:val="Heading2"/>
      </w:pPr>
      <w:r>
        <w:t xml:space="preserve">Пункт 26</w:t>
      </w:r>
    </w:p>
    <w:p>
      <w:r>
        <w:t xml:space="preserve">26. Республиканская апелляционная комиссия приступает к рассмотрению апелляций на следующий день после завершения рассмотрения апелляционных заявлений организацией по оценке.</w:t>
      </w:r>
    </w:p>
    <w:p>
      <w:pPr>
        <w:pStyle w:val="Heading2"/>
      </w:pPr>
      <w:r>
        <w:t xml:space="preserve">Пункт 27</w:t>
      </w:r>
    </w:p>
    <w:p>
      <w:r>
        <w:t xml:space="preserve">27. Итоговый протокол результатов оценки профессиональной подготовленности, рассмотренных апелляционной комиссией, предоставляется после заседания Республиканской апелляционной комиссии.</w:t>
      </w:r>
    </w:p>
    <w:p>
      <w:pPr>
        <w:pStyle w:val="Heading2"/>
      </w:pPr>
      <w:r>
        <w:t xml:space="preserve">Пункт 28</w:t>
      </w:r>
    </w:p>
    <w:p>
      <w:r>
        <w:t xml:space="preserve">28. Итоговые результаты оценки профессиональной подготовленности (итоговой аттестации), с учетом апелляции отображаются в личном кабинете выпускника в ИСО и предоставляются организацией по оценке организациям образования в области здравоохранения в виде сводного протокола результатов оценки после заседания Республиканской апелляционной комиссии.";</w:t>
      </w:r>
    </w:p>
    <w:p>
      <w:r>
        <w:t xml:space="preserve">в Правилах оценки профессиональной подготовленности специалистов в области здравоохранения, утвержденных приложением 3 к указанному приказу:</w:t>
      </w:r>
    </w:p>
    <w:p>
      <w:r>
        <w:t xml:space="preserve">пункты 1, 2 изложить в следующей редакции:</w:t>
      </w:r>
    </w:p>
    <w:p>
      <w:r>
        <w:t xml:space="preserve">"1. Настоящие Правила оценки профессиональной подготовленности специалистов в области здравоохранения (далее – Правила) разработаны в соответствии с пунктом 6 статьи 223 Кодекса Республики Казахстан "О здоровье народа и системе здравоохранения" (далее – Кодекс) и определяют порядок оценки профессиональной подготовленности специалистов в области здравоохранения (далее – Оценка).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применяются следующие понятия и определения:</w:t>
      </w:r>
    </w:p>
    <w:p>
      <w:pPr>
        <w:pStyle w:val="Heading2"/>
      </w:pPr>
      <w:r>
        <w:t xml:space="preserve">Подпункт 1</w:t>
      </w:r>
    </w:p>
    <w:p>
      <w:r>
        <w:t xml:space="preserve">1) апелляционная комиссия – комиссия, создаваемая организацией по оценке, из числа сотрудников организации по оценке и независимых экспертов для рассмотрения апелляционных заявлений кандидатов;</w:t>
      </w:r>
    </w:p>
    <w:p>
      <w:pPr>
        <w:pStyle w:val="Heading2"/>
      </w:pPr>
      <w:r>
        <w:t xml:space="preserve">Подпункт 2</w:t>
      </w:r>
    </w:p>
    <w:p>
      <w:r>
        <w:t xml:space="preserve">2) организация по оценке – аккредитованная уполномоченным органом организация, осуществляющая процедуру оценки знаний и навыков обучающихся, выпускников профессиональной подготовленности и специалистов в области здравоохранения;</w:t>
      </w:r>
    </w:p>
    <w:p>
      <w:pPr>
        <w:pStyle w:val="Heading2"/>
      </w:pPr>
      <w:r>
        <w:t xml:space="preserve">Подпункт 3</w:t>
      </w:r>
    </w:p>
    <w:p>
      <w:r>
        <w:t xml:space="preserve">3) информационная система оценки (далее – ИСО) – автоматизированная информационная платформа, предназначенная для технического сопровождения и проведения оценки знаний и навыков обучающихся, профессиональной подготовленности выпускников и специалистов в области здравоохранения путем обеспечения и поддержания безопасности информационных потребностей пользователей;</w:t>
      </w:r>
    </w:p>
    <w:p>
      <w:pPr>
        <w:pStyle w:val="Heading2"/>
      </w:pPr>
      <w:r>
        <w:t xml:space="preserve">Подпункт 4</w:t>
      </w:r>
    </w:p>
    <w:p>
      <w:r>
        <w:t xml:space="preserve">4) оценка знаний – определение сформированности знаний специалиста по соответствующей специальности в области здравоохранения;</w:t>
      </w:r>
    </w:p>
    <w:p>
      <w:pPr>
        <w:pStyle w:val="Heading2"/>
      </w:pPr>
      <w:r>
        <w:t xml:space="preserve">Подпункт 5</w:t>
      </w:r>
    </w:p>
    <w:p>
      <w:r>
        <w:t xml:space="preserve">5) навык – действие, доведенное до автоматизма путем многократного повторения, освоенный способ выполнения действия, обеспечиваемый совокупностью приобретенных знаний и сформированный путем упражнений;</w:t>
      </w:r>
    </w:p>
    <w:p>
      <w:pPr>
        <w:pStyle w:val="Heading2"/>
      </w:pPr>
      <w:r>
        <w:t xml:space="preserve">Подпункт 6</w:t>
      </w:r>
    </w:p>
    <w:p>
      <w:r>
        <w:t xml:space="preserve">6) дополнительное образование специалистов в области здравоохранения (далее – дополнительное образование) – процесс обучения, осуществляемый с целью удовлетворения образовательных потребностей кадров здравоохранения для поддержания, расширения, углубления и совершенствования профессиональных знаний, умений и навыков, а также освоения новых (дополнительных) компетенций;</w:t>
      </w:r>
    </w:p>
    <w:p>
      <w:pPr>
        <w:pStyle w:val="Heading2"/>
      </w:pPr>
      <w:r>
        <w:t xml:space="preserve">Подпункт 7</w:t>
      </w:r>
    </w:p>
    <w:p>
      <w:r>
        <w:t xml:space="preserve">7)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 (помощи);</w:t>
      </w:r>
    </w:p>
    <w:p>
      <w:pPr>
        <w:pStyle w:val="Heading2"/>
      </w:pPr>
      <w:r>
        <w:t xml:space="preserve">Подпункт 8</w:t>
      </w:r>
    </w:p>
    <w:p>
      <w:r>
        <w:t xml:space="preserve">8) экзаменатор – подготовленный специалист, осуществляющий оценку практических навыков специалистов в области здравоохранения;</w:t>
      </w:r>
    </w:p>
    <w:p>
      <w:pPr>
        <w:pStyle w:val="Heading2"/>
      </w:pPr>
      <w:r>
        <w:t xml:space="preserve">Подпункт 9</w:t>
      </w:r>
    </w:p>
    <w:p>
      <w:r>
        <w:t xml:space="preserve">9) клиническая станция – отдельно оснащенное помещение (комната либо секция) для оценки клинических знаний и навыков с применением различного симуляционного оборудования (манекены, фантомы, муляжи, автоматизированные виртуальные модели, интерактивные обучающие компьютерные программы, аудио-видео материалы) и (или) с участием стандартизированных пациентов;</w:t>
      </w:r>
    </w:p>
    <w:p>
      <w:pPr>
        <w:pStyle w:val="Heading2"/>
      </w:pPr>
      <w:r>
        <w:t xml:space="preserve">Подпункт 10</w:t>
      </w:r>
    </w:p>
    <w:p>
      <w:r>
        <w:t xml:space="preserve">10) специалист – физическое лицо, имеющее профессиональное образование в области здравоохранения и осуществляющее медицинскую или фармацевтическую деятельность, или деятельность в области санитарно-эпидемиологического благополучия населения;</w:t>
      </w:r>
    </w:p>
    <w:p>
      <w:pPr>
        <w:pStyle w:val="Heading2"/>
      </w:pPr>
      <w:r>
        <w:t xml:space="preserve">Подпункт 11</w:t>
      </w:r>
    </w:p>
    <w:p>
      <w:r>
        <w:t xml:space="preserve">11) симуляционные технологии – инновационные технологии (манекены, муляжи, симуляторы, стандартизированные пациенты, виртуальные реальности, компьютерные программы) позволяющие имитировать и воспроизводить статические и динамические процессы клинических ситуаций в искусственной среде для отработки и сдачи навыков;</w:t>
      </w:r>
    </w:p>
    <w:p>
      <w:pPr>
        <w:pStyle w:val="Heading2"/>
      </w:pPr>
      <w:r>
        <w:t xml:space="preserve">Подпункт 12</w:t>
      </w:r>
    </w:p>
    <w:p>
      <w:r>
        <w:t xml:space="preserve">12) стандартизированный пациент – физическое лицо, обученное реалистично изображать больного (воспроизводить его жалобы, психоэмоциональное состояние, способный с большой степенью достоверности инсценировать тот или иной клинический случай), привлекаемое для оценки коммуникативных навыков специалиста в рамках договорных отношений;</w:t>
      </w:r>
    </w:p>
    <w:p>
      <w:pPr>
        <w:pStyle w:val="Heading2"/>
      </w:pPr>
      <w:r>
        <w:t xml:space="preserve">Подпункт 13</w:t>
      </w:r>
    </w:p>
    <w:p>
      <w:r>
        <w:t xml:space="preserve">13) оценка навыков – определение уровня сформированности умений и навыков специалиста в процессе их демонстрации или в процессе решения ситуационных задач;</w:t>
      </w:r>
    </w:p>
    <w:p>
      <w:pPr>
        <w:pStyle w:val="Heading2"/>
      </w:pPr>
      <w:r>
        <w:t xml:space="preserve">Подпункт 14</w:t>
      </w:r>
    </w:p>
    <w:p>
      <w:r>
        <w:t xml:space="preserve">14) станция оценки навыков – отдельно оснащенное помещение (комната либо секция) для оценки клинических знаний и навыков специалистов с применением различного симуляционного оборудования (манекены, фантомы, муляжи, автоматизированные виртуальные модели, интерактивные обучающие компьютерные программы, аудио-видео материалы) и (или) с участием стандартизированных пациентов;</w:t>
      </w:r>
    </w:p>
    <w:p>
      <w:pPr>
        <w:pStyle w:val="Heading2"/>
      </w:pPr>
      <w:r>
        <w:t xml:space="preserve">Подпункт 15</w:t>
      </w:r>
    </w:p>
    <w:p>
      <w:r>
        <w:t xml:space="preserve">15) кандидат – специалист, претендующий на прохождение оценки.".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Ғиният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