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здравоохранения Республики Казахстан от 5 августа 2021 года № ҚР ДСМ-76 "Об утверждении Санитарных правил "Санитарно-эпидемиологические требования к объектам образования"</w:t>
      </w:r>
    </w:p>
    <w:p>
      <w:r>
        <w:t xml:space="preserve">Приказ, Изменения. Министерство здравоохранения Республики Казахстан (Образован Указом Президента РК от 25.01.2017 г. № 412; старое название: Министерство здравоохранения и социального развития РК; Комитет здравоохранения Минобразования, культуры и здравоохранения РК; Комитет здравоохранения Министерства здравоохранения, образования и спорта РК; Аген-во РК по делам здравоохр.). от 18.01.2023. № 178152. редакция от 18.01.2023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113) пункта 15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здравоохранения Республики Казахстан от 5 августа 2021 года № ҚР ДСМ-76 "Об утверждении Санитарных правил "Санитарно-эпидемиологические требования к объектам образования" (зарегистрирован в Реестре государственной регистрации нормативных правовых актов под № 23890) следующие изменения:</w:t>
      </w:r>
    </w:p>
    <w:p>
      <w:r>
        <w:t xml:space="preserve">в Санитарных правилах "Санитарно-эпидемиологические требования к объектам образования",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Санитарные правила "Санитарно-эпидемиологические требования к объектам образования" (далее – Санитарные правила) разработаны в соответствии с подпунктом 113) пункта 15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"О некоторых вопросах министерств здравоохранения и национальной экономики Республики Казахстан" (далее – Положение) и устанавливают санитарно-эпидемиологические требования к выбору земельного участка под строительство объекта, проектированию, реконструкции, эксплуатации, водоснабжению, водоотведению, теплоснабжению, освещению, вентиляции, кондиционированию, ремонту и содержанию, условиям проживания, питания, обучения и производственной практике, производственному контролю, условиям труда и бытовому обслуживанию персонала, медицинскому обеспечению обучающихся и воспитанников на объектах образования независимо от форм собственности.";</w:t>
      </w:r>
    </w:p>
    <w:p>
      <w:r>
        <w:t xml:space="preserve">пункт 11 изложить в следующей редакции:</w:t>
      </w:r>
    </w:p>
    <w:p>
      <w:r>
        <w:t xml:space="preserve">"11. Площади помещений учебных кабинетов и аудиторий технического и профессионального образования (далее – ТиПО), послесреднего образования (далее – ПО), высшего и послевузовского образования (далее – ВУЗ) определяются:</w:t>
      </w:r>
    </w:p>
    <w:p>
      <w:pPr>
        <w:pStyle w:val="Heading2"/>
      </w:pPr>
      <w:r>
        <w:t xml:space="preserve">Подпункт 1</w:t>
      </w:r>
    </w:p>
    <w:p>
      <w:r>
        <w:t xml:space="preserve">1) не менее 2,5 м2 на 1 обучающегося - для 12 - 15 мест;</w:t>
      </w:r>
    </w:p>
    <w:p>
      <w:pPr>
        <w:pStyle w:val="Heading2"/>
      </w:pPr>
      <w:r>
        <w:t xml:space="preserve">Подпункт 2</w:t>
      </w:r>
    </w:p>
    <w:p>
      <w:r>
        <w:t xml:space="preserve">2) 2,2 м2 на 1 обучающегося - для 16 - 25 мест;</w:t>
      </w:r>
    </w:p>
    <w:p>
      <w:pPr>
        <w:pStyle w:val="Heading2"/>
      </w:pPr>
      <w:r>
        <w:t xml:space="preserve">Подпункт 3</w:t>
      </w:r>
    </w:p>
    <w:p>
      <w:r>
        <w:t xml:space="preserve">3) 1,8 м2 на 1 обучающегося - для 26 - 49 мест;</w:t>
      </w:r>
    </w:p>
    <w:p>
      <w:pPr>
        <w:pStyle w:val="Heading2"/>
      </w:pPr>
      <w:r>
        <w:t xml:space="preserve">Подпункт 4</w:t>
      </w:r>
    </w:p>
    <w:p>
      <w:r>
        <w:t xml:space="preserve">4) 1,5 м2 на 1 обучающегося - для 50 - 75 мест;</w:t>
      </w:r>
    </w:p>
    <w:p>
      <w:pPr>
        <w:pStyle w:val="Heading2"/>
      </w:pPr>
      <w:r>
        <w:t xml:space="preserve">Подпункт 5</w:t>
      </w:r>
    </w:p>
    <w:p>
      <w:r>
        <w:t xml:space="preserve">5) 1,3 м2 на 1 обучающегося - для 76 - 100 мест;</w:t>
      </w:r>
    </w:p>
    <w:p>
      <w:pPr>
        <w:pStyle w:val="Heading2"/>
      </w:pPr>
      <w:r>
        <w:t xml:space="preserve">Подпункт 6</w:t>
      </w:r>
    </w:p>
    <w:p>
      <w:r>
        <w:t xml:space="preserve">6) 1,2 м2 на 1 обучающегося - для 100 - 150 мест;</w:t>
      </w:r>
    </w:p>
    <w:p>
      <w:pPr>
        <w:pStyle w:val="Heading2"/>
      </w:pPr>
      <w:r>
        <w:t xml:space="preserve">Подпункт 7</w:t>
      </w:r>
    </w:p>
    <w:p>
      <w:r>
        <w:t xml:space="preserve">7) 1,1 м2 на 1 обучающегося - для 150 - 350 мест;</w:t>
      </w:r>
    </w:p>
    <w:p>
      <w:pPr>
        <w:pStyle w:val="Heading2"/>
      </w:pPr>
      <w:r>
        <w:t xml:space="preserve">Подпункт 8</w:t>
      </w:r>
    </w:p>
    <w:p>
      <w:r>
        <w:t xml:space="preserve">8) 1,0 м2 на 1 обучающегося - для 350 и более мест.";</w:t>
      </w:r>
    </w:p>
    <w:p>
      <w:r>
        <w:t xml:space="preserve">пункт 21 изложить в следующей редакции:</w:t>
      </w:r>
    </w:p>
    <w:p>
      <w:r>
        <w:t xml:space="preserve">"21. Помещения в подвальном и цокольном этажах объекта размещаются в соответствии с требованиями государственных нормативов в области архитектуры, градостроительства и строительства.";</w:t>
      </w:r>
    </w:p>
    <w:p>
      <w:r>
        <w:t xml:space="preserve">пункт 76 изложить в следующей редакции:</w:t>
      </w:r>
    </w:p>
    <w:p>
      <w:r>
        <w:t xml:space="preserve">"76. Максимально допустимое количество занятий в предшкольных классах – не более четырех продолжительностью 25 – 30 минут. Перерывы между занятиями составляют не менее 10 минут.</w:t>
      </w:r>
    </w:p>
    <w:p>
      <w:r>
        <w:t xml:space="preserve">Непрерывная длительность занятий в предшкольных классах и школах непосредственно с видеотерминалом, персональным компьютером, планшетным персональным компьютером и ноутбуками в течение учебного часа составляет:</w:t>
      </w:r>
    </w:p>
    <w:p>
      <w:pPr>
        <w:pStyle w:val="Heading2"/>
      </w:pPr>
      <w:r>
        <w:t xml:space="preserve">Подпункт 1</w:t>
      </w:r>
    </w:p>
    <w:p>
      <w:r>
        <w:t xml:space="preserve">1) в предшкольных, дошкольных группах (классах) и 1 классах – не более 15 минут;</w:t>
      </w:r>
    </w:p>
    <w:p>
      <w:pPr>
        <w:pStyle w:val="Heading2"/>
      </w:pPr>
      <w:r>
        <w:t xml:space="preserve">Подпункт 2</w:t>
      </w:r>
    </w:p>
    <w:p>
      <w:r>
        <w:t xml:space="preserve">2) во 2-3 классах – не более 20 минут;</w:t>
      </w:r>
    </w:p>
    <w:p>
      <w:pPr>
        <w:pStyle w:val="Heading2"/>
      </w:pPr>
      <w:r>
        <w:t xml:space="preserve">Подпункт 3</w:t>
      </w:r>
    </w:p>
    <w:p>
      <w:r>
        <w:t xml:space="preserve">3) в 4-5 классах – не более 25 минут;</w:t>
      </w:r>
    </w:p>
    <w:p>
      <w:pPr>
        <w:pStyle w:val="Heading2"/>
      </w:pPr>
      <w:r>
        <w:t xml:space="preserve">Подпункт 4</w:t>
      </w:r>
    </w:p>
    <w:p>
      <w:r>
        <w:t xml:space="preserve">4) в 6-8 классах – не более 25 минут;</w:t>
      </w:r>
    </w:p>
    <w:p>
      <w:pPr>
        <w:pStyle w:val="Heading2"/>
      </w:pPr>
      <w:r>
        <w:t xml:space="preserve">Подпункт 5</w:t>
      </w:r>
    </w:p>
    <w:p>
      <w:r>
        <w:t xml:space="preserve">5) в 9-11 (12) классах – не более 30 минут.".</w:t>
      </w:r>
    </w:p>
    <w:p>
      <w:pPr>
        <w:pStyle w:val="Heading2"/>
      </w:pPr>
      <w:r>
        <w:t xml:space="preserve">Пункт 2</w:t>
      </w:r>
    </w:p>
    <w:p>
      <w:r>
        <w:t xml:space="preserve">2. Комитету санитарно-эпидемиологического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здравоохранения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здравоохранения Республики Казахстан | А. Ғиният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индустрии и инфраструктурного развития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просвещения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