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Правления Агентства Республики Казахстан по регулированию и развитию финансового рынка от 21 сентября 2020 года № 90 "Об утверждении Требований к службам реагирования на инциденты информационной безопасности, проведению внутренних расследований инцидентов информационной безопасности"</w:t>
      </w:r>
    </w:p>
    <w:p>
      <w:r>
        <w:t xml:space="preserve">Постановление, Изменения. Агентство Республики Казахстан по регулированию и развитию финансового рынка (Образован Указом Президента РК от 11.11.2019 г. № 203). от 23.11.2022. № 174389. редакция от 23.11.2022</w:t>
      </w:r>
    </w:p>
    <w:p>
      <w:pPr>
        <w:pStyle w:val="Heading2"/>
      </w:pPr>
      <w:r>
        <w:t xml:space="preserve">Текст</w:t>
      </w:r>
    </w:p>
    <w:p>
      <w:r>
        <w:t xml:space="preserve">Правление Агентства Республики Казахстан по регулированию и развитию финансового рынка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Правления Агентства Республики Казахстан по регулированию и развитию финансового рынка от 21 сентября 2020 года № 90 "Об утверждении Требований к службам реагирования на инциденты информационной безопасности, проведению внутренних расследований инцидентов информационной безопасности" (зарегистрировано в Реестре государственной регистрации нормативных правовых актов под № 21274) следующее изменение:</w:t>
      </w:r>
    </w:p>
    <w:p>
      <w:r>
        <w:t xml:space="preserve">в Требованиях к службам реагирования на инциденты информационной безопасности, проведению внутренних расследований инцидентов информационной безопасности, утвержденных указанным постановлением:</w:t>
      </w:r>
    </w:p>
    <w:p>
      <w:r>
        <w:t xml:space="preserve">пункт 4 изложить в следующей редакции:</w:t>
      </w:r>
    </w:p>
    <w:p>
      <w:r>
        <w:t xml:space="preserve">"4. В целях надлежащего функционирования службы реагирования банк, организация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внедрение, надлежащее функционирование программно-технических средств, автоматизирующих процессы мониторинга событий информационной безопасности и реагирования на инциденты информационной безопасности;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перечня событий и (или) совокупностей событий информационной безопасности, требующих обязательного незамедлительного реагирования на них службой реагирования, с фиксацией предпринятых мер (далее – перечень событий информационной безопасности), источников событий информационной безопасности, периодичности, порядка и методов мониторинга событий информационной безопасности;</w:t>
      </w:r>
    </w:p>
    <w:p>
      <w:pPr>
        <w:pStyle w:val="Heading2"/>
      </w:pPr>
      <w:r>
        <w:t xml:space="preserve">Подпункт 3</w:t>
      </w:r>
    </w:p>
    <w:p>
      <w:r>
        <w:t xml:space="preserve">3) определение порядка отнесения событий информационной безопасности к инцидентам информационной безопасности, их классификации и приоритизации;</w:t>
      </w:r>
    </w:p>
    <w:p>
      <w:pPr>
        <w:pStyle w:val="Heading2"/>
      </w:pPr>
      <w:r>
        <w:t xml:space="preserve">Подпункт 4</w:t>
      </w:r>
    </w:p>
    <w:p>
      <w:r>
        <w:t xml:space="preserve">4) разработку, поддержание в актуальном состоянии стандартных процедур реагирования и обучение работников службы реагирования по вопросам применения стандартных процедур реагирования;</w:t>
      </w:r>
    </w:p>
    <w:p>
      <w:pPr>
        <w:pStyle w:val="Heading2"/>
      </w:pPr>
      <w:r>
        <w:t xml:space="preserve">Подпункт 5</w:t>
      </w:r>
    </w:p>
    <w:p>
      <w:r>
        <w:t xml:space="preserve">5) определение порядка информирования руководящих работников банка, организации, подразделений банка, организации и уполномоченного органа по регулированию, контролю и надзору финансового рынка и финансовых организаций (далее – уполномоченный орган), в том числе для принятия решения о проведении внутреннего расследования инцидента информационной безопасности;</w:t>
      </w:r>
    </w:p>
    <w:p>
      <w:pPr>
        <w:pStyle w:val="Heading2"/>
      </w:pPr>
      <w:r>
        <w:t xml:space="preserve">Подпункт 6</w:t>
      </w:r>
    </w:p>
    <w:p>
      <w:r>
        <w:t xml:space="preserve">6) определение порядка учета, хранения, обеспечения целостности и сохранности информации об инцидентах информационной безопасности, включая сведения о нарушениях, сбоях в информационных системах, информации о результатах внутренних расследований инцидентов информационной безопасности и материалов этих расследований;</w:t>
      </w:r>
    </w:p>
    <w:p>
      <w:pPr>
        <w:pStyle w:val="Heading2"/>
      </w:pPr>
      <w:r>
        <w:t xml:space="preserve">Подпункт 7</w:t>
      </w:r>
    </w:p>
    <w:p>
      <w:r>
        <w:t xml:space="preserve">7) определение ответственных работников и (или) подразделений банка, организации, вовлеченных в процесс реагирования на инциденты информационной безопасности;</w:t>
      </w:r>
    </w:p>
    <w:p>
      <w:pPr>
        <w:pStyle w:val="Heading2"/>
      </w:pPr>
      <w:r>
        <w:t xml:space="preserve">Подпункт 8</w:t>
      </w:r>
    </w:p>
    <w:p>
      <w:r>
        <w:t xml:space="preserve">8) определение порядка принятия неотложных мер по устранению инцидентов информационной безопасности, установления причин возникновения инцидентов информационной безопасности и их последствий;</w:t>
      </w:r>
    </w:p>
    <w:p>
      <w:pPr>
        <w:pStyle w:val="Heading2"/>
      </w:pPr>
      <w:r>
        <w:t xml:space="preserve">Подпункт 9</w:t>
      </w:r>
    </w:p>
    <w:p>
      <w:r>
        <w:t xml:space="preserve">9) наделение службы реагирования полномочиями по введению дополнительных мер контроля по частичной или полной остановке бизнес-процесса в банке, организации в случае выявления инцидента информационной безопасности;</w:t>
      </w:r>
    </w:p>
    <w:p>
      <w:pPr>
        <w:pStyle w:val="Heading2"/>
      </w:pPr>
      <w:r>
        <w:t xml:space="preserve">Подпункт 10</w:t>
      </w:r>
    </w:p>
    <w:p>
      <w:r>
        <w:t xml:space="preserve">10) не реже одного раза в год пересмотр перечня событий информационной безопасности, источников событий информационной безопасности, периодичности, порядка и методов мониторинга событий информационной безопасности;</w:t>
      </w:r>
    </w:p>
    <w:p>
      <w:pPr>
        <w:pStyle w:val="Heading2"/>
      </w:pPr>
      <w:r>
        <w:t xml:space="preserve">Подпункт 11</w:t>
      </w:r>
    </w:p>
    <w:p>
      <w:r>
        <w:t xml:space="preserve">11) не реже одного раза в год анализ выявленных инцидентов информационной безопасности и нанесенного ими ущерба для рассмотрения коллегиальным органом банка, организации с целью оценки рисков информационной безопасности, корректировки методов и средств обеспечения информационной безопасности, изменения бизнес-процессов банка, организации;</w:t>
      </w:r>
    </w:p>
    <w:p>
      <w:pPr>
        <w:pStyle w:val="Heading2"/>
      </w:pPr>
      <w:r>
        <w:t xml:space="preserve">Подпункт 12</w:t>
      </w:r>
    </w:p>
    <w:p>
      <w:r>
        <w:t xml:space="preserve">12) наличие документов, сведений и фактов, подтверждающих реализацию порядка реагирования на инциденты информационной безопасности;</w:t>
      </w:r>
    </w:p>
    <w:p>
      <w:pPr>
        <w:pStyle w:val="Heading2"/>
      </w:pPr>
      <w:r>
        <w:t xml:space="preserve">Подпункт 13</w:t>
      </w:r>
    </w:p>
    <w:p>
      <w:r>
        <w:t xml:space="preserve">13) режим работы службы реагирования, обеспечивающий непрерывность реагирования на инциденты информационной безопасности, возникающие в критических информационных системах банка, организации;</w:t>
      </w:r>
    </w:p>
    <w:p>
      <w:pPr>
        <w:pStyle w:val="Heading2"/>
      </w:pPr>
      <w:r>
        <w:t xml:space="preserve">Подпункт 14</w:t>
      </w:r>
    </w:p>
    <w:p>
      <w:r>
        <w:t xml:space="preserve">14) в случаях нанесения материального ущерба банку, организации и (или) клиентам банка, организации вследствие реализации инцидента информационной безопасности, проведение внутреннего расследования инцидента информационной безопасности, с уведомлением уполномоченного органа о начале, сроках и результатах проведения расследования.".</w:t>
      </w:r>
    </w:p>
    <w:p>
      <w:pPr>
        <w:pStyle w:val="Heading2"/>
      </w:pPr>
      <w:r>
        <w:t xml:space="preserve">Пункт 2</w:t>
      </w:r>
    </w:p>
    <w:p>
      <w:r>
        <w:t xml:space="preserve">2. Управлению кибербезопасности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Агентства Республики Казахстан по регулированию и развитию финансового рынка | М. Абылкасымова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