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учета домашних животных и перечня домашних животных, подлежащих учету</w:t>
      </w:r>
    </w:p>
    <w:p>
      <w:r>
        <w:t xml:space="preserve">Правила, Приказ. Министерство экологии и природных ресурсов Республики Казахстан (старое название: Министерство экологии, геологии и природных ресурсов РК). от 20.05.2022. № 167970. редакция от 20.05.2022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01.09.2023 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9) статьи 7 Закона Республики Казахстан "Об ответственном обращении с животными",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Правила учета домашних животных согласно приложению 1 к настоящему приказу.</w:t>
      </w:r>
    </w:p>
    <w:p>
      <w:pPr>
        <w:pStyle w:val="Heading2"/>
      </w:pPr>
      <w:r>
        <w:t xml:space="preserve">Подпункт 2</w:t>
      </w:r>
    </w:p>
    <w:p>
      <w:r>
        <w:t xml:space="preserve">2) Перечень домашних животных, подлежащих учету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сентября 2023 года и подлежит официальному опубликованию.</w:t>
      </w:r>
    </w:p>
    <w:p>
      <w:r>
        <w:t xml:space="preserve">| Министр экологии, геологии и природных ресурсов Республики Казахстан | С. Брекешев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цифрового развития, инновационной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СОГЛАСОВАН Министерство торговли и интеграции Республики Казахстан</w:t>
      </w:r>
    </w:p>
    <w:p>
      <w:r>
        <w:t xml:space="preserve">|  | Приложение к приказу Министра экологии, геологии и природных ресурсов Республики Казахстан от 20 мая 2022 года № 169 |</w:t>
      </w:r>
    </w:p>
    <w:p>
      <w:r>
        <w:t xml:space="preserve">|---|---|</w:t>
      </w:r>
    </w:p>
    <w:p>
      <w:pPr>
        <w:pStyle w:val="Heading2"/>
      </w:pPr>
      <w:r>
        <w:t xml:space="preserve">Глава Правила учета домашних животных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учета домашних животных (далее – Правила) разработаны в соответствии с подпунктом 9) статьи 7 Закона Республики Казахстан "Об ответственном обращении с животными" (далее – Закон) и определяют порядок учета домашних животных.</w:t>
      </w:r>
    </w:p>
    <w:p>
      <w:pPr>
        <w:pStyle w:val="Heading2"/>
      </w:pPr>
      <w:r>
        <w:t xml:space="preserve">Пункт 2</w:t>
      </w:r>
    </w:p>
    <w:p>
      <w:r>
        <w:t xml:space="preserve">2. Перечень домашних животных, подлежащих учету приведен в приложении к настоящим Правилам.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основные понятия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единая база данных по учету домашних животных (далее – база данных) –электронная база данных, предусматривающая организационно-упорядоченную совокупность информационно-коммуникационных технологий, обслуживающего персонала и технической документации, предназначенная для регистрации животных, событий и действий по ним, соответствующий доступ к которой предоставляется физическим и юридическим лицам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веб-портал базы данных (далее – веб-портал) – интернет-ресурс, размещенный в сети Интернет, предоставляющий единую точку доступа к базе данных;</w:t>
      </w:r>
    </w:p>
    <w:p>
      <w:pPr>
        <w:pStyle w:val="Heading2"/>
      </w:pPr>
      <w:r>
        <w:t xml:space="preserve">Подпункт 3</w:t>
      </w:r>
    </w:p>
    <w:p>
      <w:r>
        <w:t xml:space="preserve">3) ветеринар – работник государственных ветеринарных организаций, созданных местными исполнительными органами областей, городов республиканского значения, столицы, физические или юридические лица, осуществляющие лечебно-профилактическую предпринимательскую деятельность в области ветеринарии;</w:t>
      </w:r>
    </w:p>
    <w:p>
      <w:pPr>
        <w:pStyle w:val="Heading2"/>
      </w:pPr>
      <w:r>
        <w:t xml:space="preserve">Подпункт 4</w:t>
      </w:r>
    </w:p>
    <w:p>
      <w:r>
        <w:t xml:space="preserve">4) владелец животного – физическое или юридическое лицо, которому домашнее животное принадлежит на праве собственности или ином вещном праве;</w:t>
      </w:r>
    </w:p>
    <w:p>
      <w:pPr>
        <w:pStyle w:val="Heading2"/>
      </w:pPr>
      <w:r>
        <w:t xml:space="preserve">Подпункт 5</w:t>
      </w:r>
    </w:p>
    <w:p>
      <w:r>
        <w:t xml:space="preserve">5) домашние животные (животные-компаньоны) (далее – животные) – животные вне зависимости от вида, которые традиционно содержатся и разводятся человеком для удовлетворения эстетических потребностей и потребностей в общении;</w:t>
      </w:r>
    </w:p>
    <w:p>
      <w:pPr>
        <w:pStyle w:val="Heading2"/>
      </w:pPr>
      <w:r>
        <w:t xml:space="preserve">Подпункт 6</w:t>
      </w:r>
    </w:p>
    <w:p>
      <w:r>
        <w:t xml:space="preserve">6) зоологическая гостиница – имущественный комплекс, созданный индивидуальным предпринимателем или негосударственным юридическим лицом, предназначенный и оборудованный для временного содержания или передержки домашних животных (животных - компаньонов) по согласованию с владельцами домашних животных;</w:t>
      </w:r>
    </w:p>
    <w:p>
      <w:pPr>
        <w:pStyle w:val="Heading2"/>
      </w:pPr>
      <w:r>
        <w:t xml:space="preserve">Подпункт 7</w:t>
      </w:r>
    </w:p>
    <w:p>
      <w:r>
        <w:t xml:space="preserve">7) зоологический питомник – имущественный комплекс, созданный государственным либо негосударственным юридическим лицом или индивидуальным предпринимателем, специально оборудованный и предназначенный для содержания и разведения домашних животных с племенной ценностью или специальным назначением;</w:t>
      </w:r>
    </w:p>
    <w:p>
      <w:pPr>
        <w:pStyle w:val="Heading2"/>
      </w:pPr>
      <w:r>
        <w:t xml:space="preserve">Подпункт 8</w:t>
      </w:r>
    </w:p>
    <w:p>
      <w:r>
        <w:t xml:space="preserve">8) изделия (средства) учета домашних животных – болюсы, чипы и другие изделия (средства), используемые для учета домашних животных;</w:t>
      </w:r>
    </w:p>
    <w:p>
      <w:pPr>
        <w:pStyle w:val="Heading2"/>
      </w:pPr>
      <w:r>
        <w:t xml:space="preserve">Подпункт 9</w:t>
      </w:r>
    </w:p>
    <w:p>
      <w:r>
        <w:t xml:space="preserve">9) клиент – лицо, пользующееся или намеренное воспользоваться базой данных;</w:t>
      </w:r>
    </w:p>
    <w:p>
      <w:pPr>
        <w:pStyle w:val="Heading2"/>
      </w:pPr>
      <w:r>
        <w:t xml:space="preserve">Подпункт 10</w:t>
      </w:r>
    </w:p>
    <w:p>
      <w:r>
        <w:t xml:space="preserve">10) контактный зоопарк – специально оборудованные сооружения, помещения, транспорт, клетки, ограждения и другие конструкции, используемые для содержания домашних животных с целью их публичной демонстрации и предоставления физического контакта с посетителями;</w:t>
      </w:r>
    </w:p>
    <w:p>
      <w:pPr>
        <w:pStyle w:val="Heading2"/>
      </w:pPr>
      <w:r>
        <w:t xml:space="preserve">Подпункт 11</w:t>
      </w:r>
    </w:p>
    <w:p>
      <w:r>
        <w:t xml:space="preserve">11) личный кабинет – совокупность записей, содержащихся в базе данных, позволяющих идентифицировать зарегистрированное лицо с целью регистрации событий и действий с домашним животным;</w:t>
      </w:r>
    </w:p>
    <w:p>
      <w:pPr>
        <w:pStyle w:val="Heading2"/>
      </w:pPr>
      <w:r>
        <w:t xml:space="preserve">Подпункт 12</w:t>
      </w:r>
    </w:p>
    <w:p>
      <w:r>
        <w:t xml:space="preserve">12) место содержания – используемые владельцем домашнего животного и (или) ответственным лицом здания, строения, сооружения, помещения или земельные участки, где животное содержится;</w:t>
      </w:r>
    </w:p>
    <w:p>
      <w:pPr>
        <w:pStyle w:val="Heading2"/>
      </w:pPr>
      <w:r>
        <w:t xml:space="preserve">Подпункт 13</w:t>
      </w:r>
    </w:p>
    <w:p>
      <w:r>
        <w:t xml:space="preserve">13) мечение животного – процесс нанесения на (в) домашнее животное изделий (средств) учета домашних животных;</w:t>
      </w:r>
    </w:p>
    <w:p>
      <w:pPr>
        <w:pStyle w:val="Heading2"/>
      </w:pPr>
      <w:r>
        <w:t xml:space="preserve">Подпункт 14</w:t>
      </w:r>
    </w:p>
    <w:p>
      <w:r>
        <w:t xml:space="preserve">14) ответственное лицо – лицо, которое несет права и обязанности владельца домашнего животного, установленные настоящим Законом, по письменному поручению владельца домашнего животного;</w:t>
      </w:r>
    </w:p>
    <w:p>
      <w:pPr>
        <w:pStyle w:val="Heading2"/>
      </w:pPr>
      <w:r>
        <w:t xml:space="preserve">Подпункт 15</w:t>
      </w:r>
    </w:p>
    <w:p>
      <w:r>
        <w:t xml:space="preserve">15) передвижной зверинец – специально оборудованные передвижные конструкции, в том числе клетки, используемые для публичной демонстрации домашних животных в цирковой, эстрадной, развлекательной деятельности, не имеющей научного значения, путем содержания и транспортировки домашних животных;</w:t>
      </w:r>
    </w:p>
    <w:p>
      <w:pPr>
        <w:pStyle w:val="Heading2"/>
      </w:pPr>
      <w:r>
        <w:t xml:space="preserve">Подпункт 16</w:t>
      </w:r>
    </w:p>
    <w:p>
      <w:r>
        <w:t xml:space="preserve">16) паспорт домашнего животного – электронный документ, формируемый в базе данных, содержащий сведения об индивидуальном номере домашнего животного, о его ветеринарных обработках, включая результаты диагностических исследований, о местах жительства и содержания, а также данных о владельце домашнего животного (индивидуальный или бизнес идентификационный номер, место жительства физического лица или нахождения юридического лица, контактные данные);</w:t>
      </w:r>
    </w:p>
    <w:p>
      <w:pPr>
        <w:pStyle w:val="Heading2"/>
      </w:pPr>
      <w:r>
        <w:t xml:space="preserve">Подпункт 17</w:t>
      </w:r>
    </w:p>
    <w:p>
      <w:r>
        <w:t xml:space="preserve">17) приют для домашних животных – имущественный комплекс, предназначенный и оборудованный для содержания домашних животных, оказавшихся в положении, угрожающем их жизни и здоровью, а также безнадзорных, бродячих и изъятых у физических или юридических лиц, в том числе конфискованных, домашних животных;</w:t>
      </w:r>
    </w:p>
    <w:p>
      <w:pPr>
        <w:pStyle w:val="Heading2"/>
      </w:pPr>
      <w:r>
        <w:t xml:space="preserve">Подпункт 18</w:t>
      </w:r>
    </w:p>
    <w:p>
      <w:r>
        <w:t xml:space="preserve">18) пункт временного содержания домашних животных – имущественный комплекс, специально предназначенный и оборудованный для временного содержания найденных, отловленных безнадзорных, бродячих и изъятых у физических или юридических лиц домашних животных;</w:t>
      </w:r>
    </w:p>
    <w:p>
      <w:pPr>
        <w:pStyle w:val="Heading2"/>
      </w:pPr>
      <w:r>
        <w:t xml:space="preserve">Подпункт 19</w:t>
      </w:r>
    </w:p>
    <w:p>
      <w:r>
        <w:t xml:space="preserve">19) реабилитационный центр для домашних животных – имущественный комплекс, предназначенный и оборудованный для ограниченного приема, лечения, временного содержания, реабилитации и адаптации домашних животных, подлежащих или не подлежащих возврату владельцу домашнего животного и (или) ответственному лицу либо в естественную среду обитания, оказавшихся в положении, угрожающем их жизни и здоровью, а также не способных существовать в естественных условиях, изъятых у физических или юридических лиц, в том числе конфискованных;</w:t>
      </w:r>
    </w:p>
    <w:p>
      <w:pPr>
        <w:pStyle w:val="Heading2"/>
      </w:pPr>
      <w:r>
        <w:t xml:space="preserve">Подпункт 20</w:t>
      </w:r>
    </w:p>
    <w:p>
      <w:r>
        <w:t xml:space="preserve">20) регистратор – индивидуальный предприниматель или негосударственное юридическое лицо, осуществляющее лечебно-профилактическую предпринимательскую деятельность в области ветеринарии или государственная ветеринарная организация, созданная местным исполнительным органом;</w:t>
      </w:r>
    </w:p>
    <w:p>
      <w:pPr>
        <w:pStyle w:val="Heading2"/>
      </w:pPr>
      <w:r>
        <w:t xml:space="preserve">Подпункт 21</w:t>
      </w:r>
    </w:p>
    <w:p>
      <w:r>
        <w:t xml:space="preserve">21) служба отлова – государственная ветеринарная организация, созданная местными исполнительными органами, а также индивидуальные предприниматели и негосударственные юридические лица, занимающиеся отловом, временным содержанием и умерщвлением домашних животных;</w:t>
      </w:r>
    </w:p>
    <w:p>
      <w:pPr>
        <w:pStyle w:val="Heading2"/>
      </w:pPr>
      <w:r>
        <w:t xml:space="preserve">Подпункт 22</w:t>
      </w:r>
    </w:p>
    <w:p>
      <w:r>
        <w:t xml:space="preserve">22) стерилизация – лишение животного способности к воспроизведению потомства хирургическим, медикаментозным либо иным способом;</w:t>
      </w:r>
    </w:p>
    <w:p>
      <w:pPr>
        <w:pStyle w:val="Heading2"/>
      </w:pPr>
      <w:r>
        <w:t xml:space="preserve">Подпункт 23</w:t>
      </w:r>
    </w:p>
    <w:p>
      <w:r>
        <w:t xml:space="preserve">23) уполномоченный орган в области ответственного обращения с животными (далее – уполномоченный орган) – центральный исполнительный орган, осуществляющий руководство и межотраслевую координацию в области ответственного обращения с животными;</w:t>
      </w:r>
    </w:p>
    <w:p>
      <w:pPr>
        <w:pStyle w:val="Heading2"/>
      </w:pPr>
      <w:r>
        <w:t xml:space="preserve">Подпункт 24</w:t>
      </w:r>
    </w:p>
    <w:p>
      <w:r>
        <w:t xml:space="preserve">24) электронная цифровая подпись (далее – ЭЦП) набор электронных цифровых символов, созданный средствами ЭЦП и подтверждающий достоверность электронного документа, его принадлежность и неизменность содержания.</w:t>
      </w:r>
    </w:p>
    <w:p>
      <w:pPr>
        <w:pStyle w:val="Heading2"/>
      </w:pPr>
      <w:r>
        <w:t xml:space="preserve">Пункт 4</w:t>
      </w:r>
    </w:p>
    <w:p>
      <w:r>
        <w:t xml:space="preserve">4. В базе данных, доступ к которой предоставляется на безвозмездной основе владельцам домашних животных, ответственным лицам, центральным органам, ведомствам и его территориальным подразделениям, работникам государственных ветеринарных организаций, физическим или юридическим лицам, осуществляющим лечебно-профилактическую предпринимательскую деятельность в области ветеринарии.</w:t>
      </w:r>
    </w:p>
    <w:p>
      <w:pPr>
        <w:pStyle w:val="Heading2"/>
      </w:pPr>
      <w:r>
        <w:t xml:space="preserve">Глава 2 Порядок учета домашних животных</w:t>
      </w:r>
    </w:p>
    <w:p>
      <w:pPr>
        <w:pStyle w:val="Heading2"/>
      </w:pPr>
      <w:r>
        <w:t xml:space="preserve">Параграф 1 Процедура учета домашних животных</w:t>
      </w:r>
    </w:p>
    <w:p>
      <w:pPr>
        <w:pStyle w:val="Heading2"/>
      </w:pPr>
      <w:r>
        <w:t xml:space="preserve">Пункт 5</w:t>
      </w:r>
    </w:p>
    <w:p>
      <w:r>
        <w:t xml:space="preserve">5. Домашние животные, включенные в перечень домашних животных, подлежащих учету, принадлежащее физическим и юридическим лицам на праве собственности и иных вещных правах, в том числе находящиеся в приютах для животных, пунктах временного содержания животных, реабилитационных центрах для животных, зоологических питомниках, подлежат обязательному учету, в случае смены владельца животного обязательному переучету в базе данных с регистрацией следующих событий жизненного цикла домашнего животного, включающих (далее – события):</w:t>
      </w:r>
    </w:p>
    <w:p>
      <w:pPr>
        <w:pStyle w:val="Heading2"/>
      </w:pPr>
      <w:r>
        <w:t xml:space="preserve">Подпункт 1</w:t>
      </w:r>
    </w:p>
    <w:p>
      <w:r>
        <w:t xml:space="preserve">1) рождение домашнего животного;</w:t>
      </w:r>
    </w:p>
    <w:p>
      <w:pPr>
        <w:pStyle w:val="Heading2"/>
      </w:pPr>
      <w:r>
        <w:t xml:space="preserve">Подпункт 2</w:t>
      </w:r>
    </w:p>
    <w:p>
      <w:r>
        <w:t xml:space="preserve">2) импорт домашнего животного;</w:t>
      </w:r>
    </w:p>
    <w:p>
      <w:pPr>
        <w:pStyle w:val="Heading2"/>
      </w:pPr>
      <w:r>
        <w:t xml:space="preserve">Подпункт 3</w:t>
      </w:r>
    </w:p>
    <w:p>
      <w:r>
        <w:t xml:space="preserve">3) находка безнадзорного (не меченого) домашнего животного;</w:t>
      </w:r>
    </w:p>
    <w:p>
      <w:pPr>
        <w:pStyle w:val="Heading2"/>
      </w:pPr>
      <w:r>
        <w:t xml:space="preserve">Подпункт 4</w:t>
      </w:r>
    </w:p>
    <w:p>
      <w:r>
        <w:t xml:space="preserve">4) мечение домашнего животного;</w:t>
      </w:r>
    </w:p>
    <w:p>
      <w:pPr>
        <w:pStyle w:val="Heading2"/>
      </w:pPr>
      <w:r>
        <w:t xml:space="preserve">Подпункт 5</w:t>
      </w:r>
    </w:p>
    <w:p>
      <w:r>
        <w:t xml:space="preserve">5) умерщвление домашнего животного;</w:t>
      </w:r>
    </w:p>
    <w:p>
      <w:pPr>
        <w:pStyle w:val="Heading2"/>
      </w:pPr>
      <w:r>
        <w:t xml:space="preserve">Подпункт 6</w:t>
      </w:r>
    </w:p>
    <w:p>
      <w:r>
        <w:t xml:space="preserve">6) смерть домашнего животного;</w:t>
      </w:r>
    </w:p>
    <w:p>
      <w:pPr>
        <w:pStyle w:val="Heading2"/>
      </w:pPr>
      <w:r>
        <w:t xml:space="preserve">Подпункт 7</w:t>
      </w:r>
    </w:p>
    <w:p>
      <w:r>
        <w:t xml:space="preserve">7) исчезновение домашнего животного;</w:t>
      </w:r>
    </w:p>
    <w:p>
      <w:pPr>
        <w:pStyle w:val="Heading2"/>
      </w:pPr>
      <w:r>
        <w:t xml:space="preserve">Подпункт 8</w:t>
      </w:r>
    </w:p>
    <w:p>
      <w:r>
        <w:t xml:space="preserve">8) выявление признаков болезни по результатам клинического осмотра;</w:t>
      </w:r>
    </w:p>
    <w:p>
      <w:pPr>
        <w:pStyle w:val="Heading2"/>
      </w:pPr>
      <w:r>
        <w:t xml:space="preserve">Подпункт 9</w:t>
      </w:r>
    </w:p>
    <w:p>
      <w:r>
        <w:t xml:space="preserve">9) ветеринарно-профилактические мероприятия (вакцинация, отбор проб, обработка против паразитов, аллергические исследования, лабораторные исследования);</w:t>
      </w:r>
    </w:p>
    <w:p>
      <w:pPr>
        <w:pStyle w:val="Heading2"/>
      </w:pPr>
      <w:r>
        <w:t xml:space="preserve">Подпункт 10</w:t>
      </w:r>
    </w:p>
    <w:p>
      <w:r>
        <w:t xml:space="preserve">10) передислокация домашнего животного (открепление от места содержания к географическим данным которого прикреплено домашнее животное и прикрепление к другому месту содержания);</w:t>
      </w:r>
    </w:p>
    <w:p>
      <w:pPr>
        <w:pStyle w:val="Heading2"/>
      </w:pPr>
      <w:r>
        <w:t xml:space="preserve">Подпункт 11</w:t>
      </w:r>
    </w:p>
    <w:p>
      <w:r>
        <w:t xml:space="preserve">11) изменение владельца домашнего животного;</w:t>
      </w:r>
    </w:p>
    <w:p>
      <w:pPr>
        <w:pStyle w:val="Heading2"/>
      </w:pPr>
      <w:r>
        <w:t xml:space="preserve">Подпункт 12</w:t>
      </w:r>
    </w:p>
    <w:p>
      <w:r>
        <w:t xml:space="preserve">12) карантин домашнего животного;</w:t>
      </w:r>
    </w:p>
    <w:p>
      <w:pPr>
        <w:pStyle w:val="Heading2"/>
      </w:pPr>
      <w:r>
        <w:t xml:space="preserve">Подпункт 13</w:t>
      </w:r>
    </w:p>
    <w:p>
      <w:r>
        <w:t xml:space="preserve">13) обременение домашнего животного.</w:t>
      </w:r>
    </w:p>
    <w:p>
      <w:pPr>
        <w:pStyle w:val="Heading2"/>
      </w:pPr>
      <w:r>
        <w:t xml:space="preserve">Пункт 6</w:t>
      </w:r>
    </w:p>
    <w:p>
      <w:r>
        <w:t xml:space="preserve">6. Процедура учета домашних животных включает в себя:</w:t>
      </w:r>
    </w:p>
    <w:p>
      <w:pPr>
        <w:pStyle w:val="Heading2"/>
      </w:pPr>
      <w:r>
        <w:t xml:space="preserve">Подпункт 1</w:t>
      </w:r>
    </w:p>
    <w:p>
      <w:r>
        <w:t xml:space="preserve">1) владелец и (или) ответственное лицо подает заявку в электронном виде регистратору для регистрации событий в базе данных;</w:t>
      </w:r>
    </w:p>
    <w:p>
      <w:pPr>
        <w:pStyle w:val="Heading2"/>
      </w:pPr>
      <w:r>
        <w:t xml:space="preserve">Подпункт 2</w:t>
      </w:r>
    </w:p>
    <w:p>
      <w:r>
        <w:t xml:space="preserve">2) предоставление владельцем домашнего животного и (или) ответственным лицом регистратору данные о домашних животных;</w:t>
      </w:r>
    </w:p>
    <w:p>
      <w:pPr>
        <w:pStyle w:val="Heading2"/>
      </w:pPr>
      <w:r>
        <w:t xml:space="preserve">Подпункт 3</w:t>
      </w:r>
    </w:p>
    <w:p>
      <w:r>
        <w:t xml:space="preserve">3) визуальный осмотр общего состояния здоровья домашнего животного и проверка на предмет наличия установленных изделий (средств) учета регистратору;</w:t>
      </w:r>
    </w:p>
    <w:p>
      <w:pPr>
        <w:pStyle w:val="Heading2"/>
      </w:pPr>
      <w:r>
        <w:t xml:space="preserve">Подпункт 4</w:t>
      </w:r>
    </w:p>
    <w:p>
      <w:r>
        <w:t xml:space="preserve">4) указание породных характеристик домашнему животному в базе данных;</w:t>
      </w:r>
    </w:p>
    <w:p>
      <w:pPr>
        <w:pStyle w:val="Heading2"/>
      </w:pPr>
      <w:r>
        <w:t xml:space="preserve">Подпункт 5</w:t>
      </w:r>
    </w:p>
    <w:p>
      <w:r>
        <w:t xml:space="preserve">5) установка изделий (средств) учета регистраторами;</w:t>
      </w:r>
    </w:p>
    <w:p>
      <w:pPr>
        <w:pStyle w:val="Heading2"/>
      </w:pPr>
      <w:r>
        <w:t xml:space="preserve">Подпункт 6</w:t>
      </w:r>
    </w:p>
    <w:p>
      <w:r>
        <w:t xml:space="preserve">6) включение сведений в базу данных;</w:t>
      </w:r>
    </w:p>
    <w:p>
      <w:pPr>
        <w:pStyle w:val="Heading2"/>
      </w:pPr>
      <w:r>
        <w:t xml:space="preserve">Подпункт 7</w:t>
      </w:r>
    </w:p>
    <w:p>
      <w:r>
        <w:t xml:space="preserve">7) присвоение индивидуального номера домашнему животному в базе данных;</w:t>
      </w:r>
    </w:p>
    <w:p>
      <w:pPr>
        <w:pStyle w:val="Heading2"/>
      </w:pPr>
      <w:r>
        <w:t xml:space="preserve">Пункт 7</w:t>
      </w:r>
    </w:p>
    <w:p>
      <w:r>
        <w:t xml:space="preserve">7. Регистратор проводит следующие действия по регистрации событий в базе данных:</w:t>
      </w:r>
    </w:p>
    <w:p>
      <w:pPr>
        <w:pStyle w:val="Heading2"/>
      </w:pPr>
      <w:r>
        <w:t xml:space="preserve">Подпункт 1</w:t>
      </w:r>
    </w:p>
    <w:p>
      <w:r>
        <w:t xml:space="preserve">1) активация домашнего животного (по факту мечения):</w:t>
      </w:r>
    </w:p>
    <w:p>
      <w:r>
        <w:t xml:space="preserve">рождение домашнего животного;</w:t>
      </w:r>
    </w:p>
    <w:p>
      <w:r>
        <w:t xml:space="preserve">импорт домашнего животного;</w:t>
      </w:r>
    </w:p>
    <w:p>
      <w:r>
        <w:t xml:space="preserve">находка безнадзорного домашнего животного;</w:t>
      </w:r>
    </w:p>
    <w:p>
      <w:r>
        <w:t xml:space="preserve">мечение домашнего животного;</w:t>
      </w:r>
    </w:p>
    <w:p>
      <w:pPr>
        <w:pStyle w:val="Heading2"/>
      </w:pPr>
      <w:r>
        <w:t xml:space="preserve">Подпункт 2</w:t>
      </w:r>
    </w:p>
    <w:p>
      <w:r>
        <w:t xml:space="preserve">2) деактивация домашнего животного:</w:t>
      </w:r>
    </w:p>
    <w:p>
      <w:r>
        <w:t xml:space="preserve">умерщвление домашнего животного;</w:t>
      </w:r>
    </w:p>
    <w:p>
      <w:r>
        <w:t xml:space="preserve">смерть домашнего животного;</w:t>
      </w:r>
    </w:p>
    <w:p>
      <w:r>
        <w:t xml:space="preserve">исчезновение домашнего животного;</w:t>
      </w:r>
    </w:p>
    <w:p>
      <w:pPr>
        <w:pStyle w:val="Heading2"/>
      </w:pPr>
      <w:r>
        <w:t xml:space="preserve">Подпункт 3</w:t>
      </w:r>
    </w:p>
    <w:p>
      <w:r>
        <w:t xml:space="preserve">3) выявление признаков болезни по результатам клинического осмотра;</w:t>
      </w:r>
    </w:p>
    <w:p>
      <w:pPr>
        <w:pStyle w:val="Heading2"/>
      </w:pPr>
      <w:r>
        <w:t xml:space="preserve">Подпункт 4</w:t>
      </w:r>
    </w:p>
    <w:p>
      <w:r>
        <w:t xml:space="preserve">4) ветеринарно-профилактические мероприятия;</w:t>
      </w:r>
    </w:p>
    <w:p>
      <w:pPr>
        <w:pStyle w:val="Heading2"/>
      </w:pPr>
      <w:r>
        <w:t xml:space="preserve">Подпункт 5</w:t>
      </w:r>
    </w:p>
    <w:p>
      <w:r>
        <w:t xml:space="preserve">5) передислокация домашнего животного (открепление от места содержания к географическим данным которого прикреплено домашнее животное и прикрепление к другому месту содержания):</w:t>
      </w:r>
    </w:p>
    <w:p>
      <w:r>
        <w:t xml:space="preserve">убытие домашнего животного;</w:t>
      </w:r>
    </w:p>
    <w:p>
      <w:r>
        <w:t xml:space="preserve">прибытие домашнего животного;</w:t>
      </w:r>
    </w:p>
    <w:p>
      <w:pPr>
        <w:pStyle w:val="Heading2"/>
      </w:pPr>
      <w:r>
        <w:t xml:space="preserve">Подпункт 6</w:t>
      </w:r>
    </w:p>
    <w:p>
      <w:r>
        <w:t xml:space="preserve">6) изменение владельца домашнего животного;</w:t>
      </w:r>
    </w:p>
    <w:p>
      <w:pPr>
        <w:pStyle w:val="Heading2"/>
      </w:pPr>
      <w:r>
        <w:t xml:space="preserve">Подпункт 7</w:t>
      </w:r>
    </w:p>
    <w:p>
      <w:r>
        <w:t xml:space="preserve">7) о карантине домашнего животного;</w:t>
      </w:r>
    </w:p>
    <w:p>
      <w:pPr>
        <w:pStyle w:val="Heading2"/>
      </w:pPr>
      <w:r>
        <w:t xml:space="preserve">Подпункт 8</w:t>
      </w:r>
    </w:p>
    <w:p>
      <w:r>
        <w:t xml:space="preserve">8) об обременении домашнего животного.</w:t>
      </w:r>
    </w:p>
    <w:p>
      <w:pPr>
        <w:pStyle w:val="Heading2"/>
      </w:pPr>
      <w:r>
        <w:t xml:space="preserve">Пункт 8</w:t>
      </w:r>
    </w:p>
    <w:p>
      <w:r>
        <w:t xml:space="preserve">8. В случае выявления уже установленных изделий (средств) учета регистратором, проводится проверка в базе данных информации.</w:t>
      </w:r>
    </w:p>
    <w:p>
      <w:pPr>
        <w:pStyle w:val="Heading2"/>
      </w:pPr>
      <w:r>
        <w:t xml:space="preserve">Пункт 9</w:t>
      </w:r>
    </w:p>
    <w:p>
      <w:r>
        <w:t xml:space="preserve">9. При обнаружении другого владельца домашнего животного, владелец, указанный в базе данных, незамедлительно оповещается лицом, осуществляющим учет, любым доступным способом, а новому владельцу в учете отказывается.</w:t>
      </w:r>
    </w:p>
    <w:p>
      <w:pPr>
        <w:pStyle w:val="Heading2"/>
      </w:pPr>
      <w:r>
        <w:t xml:space="preserve">Пункт 10</w:t>
      </w:r>
    </w:p>
    <w:p>
      <w:r>
        <w:t xml:space="preserve">10. Изделие (средство) учета позволяет идентифицировать домашнее животное в течение всего жизненного срока домашнего животного.</w:t>
      </w:r>
    </w:p>
    <w:p>
      <w:pPr>
        <w:pStyle w:val="Heading2"/>
      </w:pPr>
      <w:r>
        <w:t xml:space="preserve">Пункт 11</w:t>
      </w:r>
    </w:p>
    <w:p>
      <w:r>
        <w:t xml:space="preserve">11. Владелец домашнего животного самостоятельно выбирает и приобретает изделие (средство) учета.</w:t>
      </w:r>
    </w:p>
    <w:p>
      <w:pPr>
        <w:pStyle w:val="Heading2"/>
      </w:pPr>
      <w:r>
        <w:t xml:space="preserve">Пункт 12</w:t>
      </w:r>
    </w:p>
    <w:p>
      <w:r>
        <w:t xml:space="preserve">12. Установка изделий (средств) учета производится регистратором путем использования:</w:t>
      </w:r>
    </w:p>
    <w:p>
      <w:pPr>
        <w:pStyle w:val="Heading2"/>
      </w:pPr>
      <w:r>
        <w:t xml:space="preserve">Подпункт 1</w:t>
      </w:r>
    </w:p>
    <w:p>
      <w:r>
        <w:t xml:space="preserve">1) болюсов посредством введения в отдел желудочно-кишечного тракта домашнего животного;</w:t>
      </w:r>
    </w:p>
    <w:p>
      <w:pPr>
        <w:pStyle w:val="Heading2"/>
      </w:pPr>
      <w:r>
        <w:t xml:space="preserve">Подпункт 2</w:t>
      </w:r>
    </w:p>
    <w:p>
      <w:r>
        <w:t xml:space="preserve">2) чипов посредством их подкожного введения;</w:t>
      </w:r>
    </w:p>
    <w:p>
      <w:pPr>
        <w:pStyle w:val="Heading2"/>
      </w:pPr>
      <w:r>
        <w:t xml:space="preserve">Подпункт 3</w:t>
      </w:r>
    </w:p>
    <w:p>
      <w:r>
        <w:t xml:space="preserve">3) браслетов или ошейников либо шлейки;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электронной метки;</w:t>
      </w:r>
    </w:p>
    <w:p>
      <w:pPr>
        <w:pStyle w:val="Heading2"/>
      </w:pPr>
      <w:r>
        <w:t xml:space="preserve">Подпункт 5</w:t>
      </w:r>
    </w:p>
    <w:p>
      <w:r>
        <w:t xml:space="preserve">5) бирки по центру уха домашнего животного, не задев при этом вены;</w:t>
      </w:r>
    </w:p>
    <w:p>
      <w:pPr>
        <w:pStyle w:val="Heading2"/>
      </w:pPr>
      <w:r>
        <w:t xml:space="preserve">Подпункт 6</w:t>
      </w:r>
    </w:p>
    <w:p>
      <w:r>
        <w:t xml:space="preserve">6) татуировки.</w:t>
      </w:r>
    </w:p>
    <w:p>
      <w:pPr>
        <w:pStyle w:val="Heading2"/>
      </w:pPr>
      <w:r>
        <w:t xml:space="preserve">Пункт 13</w:t>
      </w:r>
    </w:p>
    <w:p>
      <w:r>
        <w:t xml:space="preserve">13. После установки изделия (средства) учета, регистратором в течение дня вносятся следующие сведения в базу данных: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идентификационный номер (далее – ИИН), фамилия, имя, отчество (при его наличии) владельца домашнего животного – физического лица или бизнес идентификационный номер (далее – БИН) и наименование владельца домашнего животного – юридического лица;</w:t>
      </w:r>
    </w:p>
    <w:p>
      <w:pPr>
        <w:pStyle w:val="Heading2"/>
      </w:pPr>
      <w:r>
        <w:t xml:space="preserve">Подпункт 2</w:t>
      </w:r>
    </w:p>
    <w:p>
      <w:r>
        <w:t xml:space="preserve">2) место жительства владельца домашнего животного – физического лица или место нахождения юридический адрес – юридического лица;</w:t>
      </w:r>
    </w:p>
    <w:p>
      <w:pPr>
        <w:pStyle w:val="Heading2"/>
      </w:pPr>
      <w:r>
        <w:t xml:space="preserve">Подпункт 3</w:t>
      </w:r>
    </w:p>
    <w:p>
      <w:r>
        <w:t xml:space="preserve">3) контактные данные владельца домашнего животного;</w:t>
      </w:r>
    </w:p>
    <w:p>
      <w:pPr>
        <w:pStyle w:val="Heading2"/>
      </w:pPr>
      <w:r>
        <w:t xml:space="preserve">Подпункт 4</w:t>
      </w:r>
    </w:p>
    <w:p>
      <w:r>
        <w:t xml:space="preserve">4) место содержания домашнего животного;</w:t>
      </w:r>
    </w:p>
    <w:p>
      <w:pPr>
        <w:pStyle w:val="Heading2"/>
      </w:pPr>
      <w:r>
        <w:t xml:space="preserve">Подпункт 5</w:t>
      </w:r>
    </w:p>
    <w:p>
      <w:r>
        <w:t xml:space="preserve">5) вид, кличка, порода, пол, окрас, дата рождения, возраст домашнего животного;</w:t>
      </w:r>
    </w:p>
    <w:p>
      <w:pPr>
        <w:pStyle w:val="Heading2"/>
      </w:pPr>
      <w:r>
        <w:t xml:space="preserve">Подпункт 6</w:t>
      </w:r>
    </w:p>
    <w:p>
      <w:r>
        <w:t xml:space="preserve">6) вид, номер и данные изделия (средства) учета;</w:t>
      </w:r>
    </w:p>
    <w:p>
      <w:pPr>
        <w:pStyle w:val="Heading2"/>
      </w:pPr>
      <w:r>
        <w:t xml:space="preserve">Подпункт 7</w:t>
      </w:r>
    </w:p>
    <w:p>
      <w:r>
        <w:t xml:space="preserve">7) индивидуальный номер домашнего животного;</w:t>
      </w:r>
    </w:p>
    <w:p>
      <w:pPr>
        <w:pStyle w:val="Heading2"/>
      </w:pPr>
      <w:r>
        <w:t xml:space="preserve">Подпункт 8</w:t>
      </w:r>
    </w:p>
    <w:p>
      <w:r>
        <w:t xml:space="preserve">8) информация о проведенных вакцинациях и стерилизациях.</w:t>
      </w:r>
    </w:p>
    <w:p>
      <w:pPr>
        <w:pStyle w:val="Heading2"/>
      </w:pPr>
      <w:r>
        <w:t xml:space="preserve">Параграф 2 Порядок формирования и ведения базы данных</w:t>
      </w:r>
    </w:p>
    <w:p>
      <w:pPr>
        <w:pStyle w:val="Heading2"/>
      </w:pPr>
      <w:r>
        <w:t xml:space="preserve">Пункт 14</w:t>
      </w:r>
    </w:p>
    <w:p>
      <w:r>
        <w:t xml:space="preserve">14. Индивидуальный номер домашнего животного (далее – ИНЖ) автоматически генерируемый базе данных и состоит из пятнадцати символов, которые имеют следующие обозначения:</w:t>
      </w:r>
    </w:p>
    <w:p>
      <w:pPr>
        <w:pStyle w:val="Heading2"/>
      </w:pPr>
      <w:r>
        <w:t xml:space="preserve">Подпункт 1</w:t>
      </w:r>
    </w:p>
    <w:p>
      <w:r>
        <w:t xml:space="preserve">1) первые три символа – код Республики Казахстан согласно коду ISO – Международной организации по стандартизации (три цифры – 398);</w:t>
      </w:r>
    </w:p>
    <w:p>
      <w:pPr>
        <w:pStyle w:val="Heading2"/>
      </w:pPr>
      <w:r>
        <w:t xml:space="preserve">Подпункт 2</w:t>
      </w:r>
    </w:p>
    <w:p>
      <w:r>
        <w:t xml:space="preserve">2) с четвертого по пятые символы – числовой код обозначающий вид животного в соответствии с приложением 2 к настоящему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с шестого по пятнадцатые символы – уникальный порядковый номер.</w:t>
      </w:r>
    </w:p>
    <w:p>
      <w:pPr>
        <w:pStyle w:val="Heading2"/>
      </w:pPr>
      <w:r>
        <w:t xml:space="preserve">Пункт 15</w:t>
      </w:r>
    </w:p>
    <w:p>
      <w:r>
        <w:t xml:space="preserve">15. Регистрационный номер места содержания (далее – РНМС) автоматически генерируемый базой данных состоит из пятнадцати символов, которые имеют следующие обозначения:</w:t>
      </w:r>
    </w:p>
    <w:p>
      <w:pPr>
        <w:pStyle w:val="Heading2"/>
      </w:pPr>
      <w:r>
        <w:t xml:space="preserve">Подпункт 1</w:t>
      </w:r>
    </w:p>
    <w:p>
      <w:r>
        <w:t xml:space="preserve">1) первые три символа – код Республики Казахстан согласно коду ISO – Международной организации по стандартизации (три цифры – 398);</w:t>
      </w:r>
    </w:p>
    <w:p>
      <w:pPr>
        <w:pStyle w:val="Heading2"/>
      </w:pPr>
      <w:r>
        <w:t xml:space="preserve">Подпункт 2</w:t>
      </w:r>
    </w:p>
    <w:p>
      <w:r>
        <w:t xml:space="preserve">2) с четвертого по пятые символы – числовой код обозначающий вид места содержания;</w:t>
      </w:r>
    </w:p>
    <w:p>
      <w:pPr>
        <w:pStyle w:val="Heading2"/>
      </w:pPr>
      <w:r>
        <w:t xml:space="preserve">Подпункт 3</w:t>
      </w:r>
    </w:p>
    <w:p>
      <w:r>
        <w:t xml:space="preserve">3) с шестого по пятнадцатые символы – уникальный порядковый номер.</w:t>
      </w:r>
    </w:p>
    <w:p>
      <w:pPr>
        <w:pStyle w:val="Heading2"/>
      </w:pPr>
      <w:r>
        <w:t xml:space="preserve">Пункт 16</w:t>
      </w:r>
    </w:p>
    <w:p>
      <w:r>
        <w:t xml:space="preserve">16. Автоматическое формирование паспорта домашнего животного учета осуществляется в электронном виде в базе данных.</w:t>
      </w:r>
    </w:p>
    <w:p>
      <w:pPr>
        <w:pStyle w:val="Heading2"/>
      </w:pPr>
      <w:r>
        <w:t xml:space="preserve">Пункт 17</w:t>
      </w:r>
    </w:p>
    <w:p>
      <w:r>
        <w:t xml:space="preserve">17. Получение выписки личного кабинета из паспорта домашнего животного учета осуществляется владельцем и (или) ответственным лицом или регистратором посредством базы данных.</w:t>
      </w:r>
    </w:p>
    <w:p>
      <w:pPr>
        <w:pStyle w:val="Heading2"/>
      </w:pPr>
      <w:r>
        <w:t xml:space="preserve">Пункт 18</w:t>
      </w:r>
    </w:p>
    <w:p>
      <w:r>
        <w:t xml:space="preserve">18. База данных формируется и ведется на основе данных владельцев домашнего животного и (или) ответственного лица, а также данных регистрации физических и юридических лиц, других центральных и местных исполнительных органов, а также Государственной корпорации "Правительство для граждан", в частности: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государственных органов, осуществляющих руководство и межотраслевую координацию в сфере разрешений и уведомлений – в отношении юридических лиц, имеющих разрешение на экспорт, импорт и транзит подконтрольной продукции (далее – разрешение);</w:t>
      </w:r>
    </w:p>
    <w:p>
      <w:pPr>
        <w:pStyle w:val="Heading2"/>
      </w:pPr>
      <w:r>
        <w:t xml:space="preserve">Подпункт 2</w:t>
      </w:r>
    </w:p>
    <w:p>
      <w:r>
        <w:t xml:space="preserve">2) государственных органов, осуществляющих реализацию государственной политики и государственное регулирование деятельности в сфере государственной регистрации и государственного технического обследования недвижимого имущества – в отношении объектов недвижимости, зарегистрированных за владельцами домашних животных;</w:t>
      </w:r>
    </w:p>
    <w:p>
      <w:pPr>
        <w:pStyle w:val="Heading2"/>
      </w:pPr>
      <w:r>
        <w:t xml:space="preserve">Подпункт 3</w:t>
      </w:r>
    </w:p>
    <w:p>
      <w:r>
        <w:t xml:space="preserve">3) государственных органов, осуществляющих государственную регистрацию юридических лиц и учетную регистрацию филиалов и представительств – в отношении юридических лиц, филиалов и представительств;</w:t>
      </w:r>
    </w:p>
    <w:p>
      <w:pPr>
        <w:pStyle w:val="Heading2"/>
      </w:pPr>
      <w:r>
        <w:t xml:space="preserve">Подпункт 4</w:t>
      </w:r>
    </w:p>
    <w:p>
      <w:r>
        <w:t xml:space="preserve">4) государственных органов, осуществляющих формирование идентификационных номеров и ведение национальных реестров идентификационных номеров – в отношении физических лиц;</w:t>
      </w:r>
    </w:p>
    <w:p>
      <w:pPr>
        <w:pStyle w:val="Heading2"/>
      </w:pPr>
      <w:r>
        <w:t xml:space="preserve">Параграф 3 Порядок регистрации действий осуществляющих в базе данных по отношению к домашним животным</w:t>
      </w:r>
    </w:p>
    <w:p>
      <w:pPr>
        <w:pStyle w:val="Heading2"/>
      </w:pPr>
      <w:r>
        <w:t xml:space="preserve">Пункт 19</w:t>
      </w:r>
    </w:p>
    <w:p>
      <w:r>
        <w:t xml:space="preserve">19. В базе данных регистрируются следующие виды действий:</w:t>
      </w:r>
    </w:p>
    <w:p>
      <w:pPr>
        <w:pStyle w:val="Heading2"/>
      </w:pPr>
      <w:r>
        <w:t xml:space="preserve">Подпункт 1</w:t>
      </w:r>
    </w:p>
    <w:p>
      <w:r>
        <w:t xml:space="preserve">1) ведение по личному кабинету;</w:t>
      </w:r>
    </w:p>
    <w:p>
      <w:pPr>
        <w:pStyle w:val="Heading2"/>
      </w:pPr>
      <w:r>
        <w:t xml:space="preserve">Подпункт 2</w:t>
      </w:r>
    </w:p>
    <w:p>
      <w:r>
        <w:t xml:space="preserve">2) ведение сведений по домашним животным;</w:t>
      </w:r>
    </w:p>
    <w:p>
      <w:pPr>
        <w:pStyle w:val="Heading2"/>
      </w:pPr>
      <w:r>
        <w:t xml:space="preserve">Подпункт 3</w:t>
      </w:r>
    </w:p>
    <w:p>
      <w:r>
        <w:t xml:space="preserve">3) информационные действия.</w:t>
      </w:r>
    </w:p>
    <w:p>
      <w:pPr>
        <w:pStyle w:val="Heading2"/>
      </w:pPr>
      <w:r>
        <w:t xml:space="preserve">Пункт 20</w:t>
      </w:r>
    </w:p>
    <w:p>
      <w:r>
        <w:t xml:space="preserve">20. К действиям по личному кабинету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открытие личного кабинета;</w:t>
      </w:r>
    </w:p>
    <w:p>
      <w:pPr>
        <w:pStyle w:val="Heading2"/>
      </w:pPr>
      <w:r>
        <w:t xml:space="preserve">Подпункт 2</w:t>
      </w:r>
    </w:p>
    <w:p>
      <w:r>
        <w:t xml:space="preserve">2) изменение данных личного кабинета;</w:t>
      </w:r>
    </w:p>
    <w:p>
      <w:pPr>
        <w:pStyle w:val="Heading2"/>
      </w:pPr>
      <w:r>
        <w:t xml:space="preserve">Подпункт 3</w:t>
      </w:r>
    </w:p>
    <w:p>
      <w:r>
        <w:t xml:space="preserve">3) закрытие личного кабинета.</w:t>
      </w:r>
    </w:p>
    <w:p>
      <w:pPr>
        <w:pStyle w:val="Heading2"/>
      </w:pPr>
      <w:r>
        <w:t xml:space="preserve">Пункт 21</w:t>
      </w:r>
    </w:p>
    <w:p>
      <w:r>
        <w:t xml:space="preserve">21. Для открытия личного кабинета, клиенты самостоятельно регистрируются на веб-портале с использованием ЭЦП, с указанием:</w:t>
      </w:r>
    </w:p>
    <w:p>
      <w:pPr>
        <w:pStyle w:val="Heading2"/>
      </w:pPr>
      <w:r>
        <w:t xml:space="preserve">Подпункт 1</w:t>
      </w:r>
    </w:p>
    <w:p>
      <w:r>
        <w:t xml:space="preserve">1) для физических лиц и индивидуальных предпринимателей: ИИН, фамилии, имени и отчества (при его наличии);</w:t>
      </w:r>
    </w:p>
    <w:p>
      <w:pPr>
        <w:pStyle w:val="Heading2"/>
      </w:pPr>
      <w:r>
        <w:t xml:space="preserve">Подпункт 2</w:t>
      </w:r>
    </w:p>
    <w:p>
      <w:r>
        <w:t xml:space="preserve">2) для юридических лиц: БИН, полного наименования; фамилии, имени и отчества (при его наличии) и ИИН первого руководителя;</w:t>
      </w:r>
    </w:p>
    <w:p>
      <w:pPr>
        <w:pStyle w:val="Heading2"/>
      </w:pPr>
      <w:r>
        <w:t xml:space="preserve">Подпункт 3</w:t>
      </w:r>
    </w:p>
    <w:p>
      <w:r>
        <w:t xml:space="preserve">3) контактных данных (почтовый адрес, телефон, электронный адрес);</w:t>
      </w:r>
    </w:p>
    <w:p>
      <w:pPr>
        <w:pStyle w:val="Heading2"/>
      </w:pPr>
      <w:r>
        <w:t xml:space="preserve">Подпункт 4</w:t>
      </w:r>
    </w:p>
    <w:p>
      <w:r>
        <w:t xml:space="preserve">4) регистрационного номера места содержания в базе данных.</w:t>
      </w:r>
    </w:p>
    <w:p>
      <w:pPr>
        <w:pStyle w:val="Heading2"/>
      </w:pPr>
      <w:r>
        <w:t xml:space="preserve">Пункт 22</w:t>
      </w:r>
    </w:p>
    <w:p>
      <w:r>
        <w:t xml:space="preserve">22. При изменении вышеуказанных данных клиент в течение 1 (одного) рабочего дня изменяет данные внесенные в личный кабинет.</w:t>
      </w:r>
    </w:p>
    <w:p>
      <w:r>
        <w:t xml:space="preserve">Пользователям веб-портала доступна функция по проверке статуса паспорта домашнего животного и/или домашнего животного (без указания персональных данных владельца домашнего животного) согласно электронному запросу с указанием: номера транзакции, или номера паспорта домашнего животного, либо идентификационного номера домашнего животного.</w:t>
      </w:r>
    </w:p>
    <w:p>
      <w:pPr>
        <w:pStyle w:val="Heading2"/>
      </w:pPr>
      <w:r>
        <w:t xml:space="preserve">Пункт 23</w:t>
      </w:r>
    </w:p>
    <w:p>
      <w:r>
        <w:t xml:space="preserve">23. Любое домашнее животное активируется отдельно. Качественные характеристики активируемого домашнего животного определяются в паспорте домашнего животного.</w:t>
      </w:r>
    </w:p>
    <w:p>
      <w:r>
        <w:t xml:space="preserve">В базе данных сохраняются данные об изменениях (корректировка, ошибочное занесение, внесение изменений и дополнений в сведения) сведений, внесенных (имеющихся) в базу данных.</w:t>
      </w:r>
    </w:p>
    <w:p>
      <w:pPr>
        <w:pStyle w:val="Heading2"/>
      </w:pPr>
      <w:r>
        <w:t xml:space="preserve">Параграф 4 Порядок предоставления доступа к базе данных</w:t>
      </w:r>
    </w:p>
    <w:p>
      <w:pPr>
        <w:pStyle w:val="Heading2"/>
      </w:pPr>
      <w:r>
        <w:t xml:space="preserve">Пункт 24</w:t>
      </w:r>
    </w:p>
    <w:p>
      <w:r>
        <w:t xml:space="preserve">24. Доступ к базе данных обеспечивается через веб-портал в круглосуточном режиме.</w:t>
      </w:r>
    </w:p>
    <w:p>
      <w:pPr>
        <w:pStyle w:val="Heading2"/>
      </w:pPr>
      <w:r>
        <w:t xml:space="preserve">Пункт 25</w:t>
      </w:r>
    </w:p>
    <w:p>
      <w:r>
        <w:t xml:space="preserve">25. Для уполномоченного органа и местного исполнительного органа, в личном кабинете доступна функция по формированию аналитической и статистической отчетности по клиентам, владельцам, местам содержания и домашним животным.</w:t>
      </w:r>
    </w:p>
    <w:p>
      <w:r>
        <w:t xml:space="preserve">|  | Приложение к Правилам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домашних животных, подлежащих учету</w:t>
      </w:r>
    </w:p>
    <w:p>
      <w:r>
        <w:t xml:space="preserve">| № п/п | Наименование домашнего животного | Код домашнего животного |</w:t>
      </w:r>
    </w:p>
    <w:p>
      <w:r>
        <w:t xml:space="preserve">|---|---|---|</w:t>
      </w:r>
    </w:p>
    <w:p>
      <w:r>
        <w:t xml:space="preserve">| 1 | Собака | 01 |</w:t>
      </w:r>
    </w:p>
    <w:p>
      <w:r>
        <w:t xml:space="preserve">| 2 | Кошка | 02 |</w:t>
      </w:r>
    </w:p>
    <w:p>
      <w:r>
        <w:t xml:space="preserve">| 3 | Морская свинка | 03 |</w:t>
      </w:r>
    </w:p>
    <w:p>
      <w:r>
        <w:t xml:space="preserve">| 4 | Шиншила | 04 |</w:t>
      </w:r>
    </w:p>
    <w:p>
      <w:r>
        <w:t xml:space="preserve">| 5 | Хорек | 05 |</w:t>
      </w:r>
    </w:p>
    <w:p>
      <w:r>
        <w:t xml:space="preserve">| 6 | Крыса декоративная | 06 |</w:t>
      </w:r>
    </w:p>
    <w:p>
      <w:r>
        <w:t xml:space="preserve">| 7 | Черепаха | 07 |</w:t>
      </w:r>
    </w:p>
    <w:p>
      <w:r>
        <w:t xml:space="preserve">| 8 | Свинья карликовая | 08 |</w:t>
      </w:r>
    </w:p>
    <w:p>
      <w:r>
        <w:t xml:space="preserve">| 9 | Хомяк | 09 |</w:t>
      </w:r>
    </w:p>
    <w:p>
      <w:r>
        <w:t xml:space="preserve">| 10 | Обезъяна, кроме видов, запрещенных к содержанию | 10 |</w:t>
      </w:r>
    </w:p>
    <w:p>
      <w:pPr>
        <w:pStyle w:val="Heading2"/>
      </w:pPr>
      <w:r>
        <w:t xml:space="preserve">Текст</w:t>
      </w:r>
    </w:p>
    <w:p>
      <w:r>
        <w:t xml:space="preserve">Примечание: *позиции с 3 по 10 подлежат добровольному учету;</w:t>
      </w:r>
    </w:p>
    <w:p>
      <w:pPr>
        <w:pStyle w:val="Heading2"/>
      </w:pPr>
      <w:r>
        <w:t xml:space="preserve">Текст</w:t>
      </w:r>
    </w:p>
    <w:p>
      <w:r>
        <w:t xml:space="preserve">*позиция 10 в соответствии с приказом Министра экологии, геологии и природных ресурсов Республики Казахстан от 24 марта 2022 года № 85 "Об утверждении Перечня домашних животных, требующих особой ответственности владельца животного и перечня животных, запрещенных к содержанию в жилищах".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