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образования и науки Республики Казахстан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24.03.2022. № 165636. редакция от 24.03.2022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Министра образования и науки Республики Казахстан,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приказе Министра образования и науки Республики Казахстан от 27 ноября 2017 года № 596 "Об утверждении Правил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обучения" (зарегистрирован в Реестре государственной регистрации нормативных правовых актов под № 16138):</w:t>
      </w:r>
    </w:p>
    <w:p>
      <w:r>
        <w:t xml:space="preserve">заголовок указанного приказа изложить в следующей редакции:</w:t>
      </w:r>
    </w:p>
    <w:p>
      <w:r>
        <w:t xml:space="preserve">"Об утверждении Правил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обучения";</w:t>
      </w:r>
    </w:p>
    <w:p>
      <w:r>
        <w:t xml:space="preserve">пункт 1 указанного приказа изложить в следующей редакции:</w:t>
      </w:r>
    </w:p>
    <w:p>
      <w:r>
        <w:t xml:space="preserve">"1. Утвердить прилагаемые Правила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обучения.";</w:t>
      </w:r>
    </w:p>
    <w:p>
      <w:r>
        <w:t xml:space="preserve">в Правилах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обучения, утвержденных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"Правила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обучения";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 (далее – Правила) разработаны в соответствии с подпунктом 46-2) статьи 5 Закона Республики Казахстан "Об образовании" (далее – Закон) и определяют порядок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обучения.";</w:t>
      </w:r>
    </w:p>
    <w:p>
      <w:r>
        <w:t xml:space="preserve">пункты 7 и 8 изложить в следующей редакции:</w:t>
      </w:r>
    </w:p>
    <w:p>
      <w:r>
        <w:t xml:space="preserve">"7. Подушевое нормативное финансирование технического и профессионального, послесреднего образования осуществляется местным исполнительным органом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организаций технического и профессионального, послесреднего образования в организационно-правовой форме государственного учреждения – ежемесячно согласно индивидуальным планам финансирования;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организаций технического и профессионального, послесреднего образования в других организационно-правовых формах – ежемесячно в пределах заключенных договоров на размещение государственного образовательного заказа на техническое и профессиональное, послесреднее образование на ежемесячной основе в объеме, рассчитанном за фактический контингент обучающихся, получивших указанные услуги, и (или) количество фактически предоставленных кредитов в текущем месяце.</w:t>
      </w:r>
    </w:p>
    <w:p>
      <w:pPr>
        <w:pStyle w:val="Heading2"/>
      </w:pPr>
      <w:r>
        <w:t xml:space="preserve">Пункт 8</w:t>
      </w:r>
    </w:p>
    <w:p>
      <w:r>
        <w:t xml:space="preserve">8. Объем подушевого нормативного финансирования на дошкольное воспитание и обучение, техническое и профессиональное, послесреднее образование определяется не ниже объема подушевого норматива финансирования дошкольного воспитания и обучения, технического и профессионального, послесреднего образования, рассчитанного в соответствии с Методикой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обучения, утверждаемой в соответствии с подпунктом 46-1) статьи 5 Закона.";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Министра образования и науки Республики Казахстан от 27 ноября 2017 года № 597 "Об утверждении Методики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обучения" (зарегистрирован в Реестре государственной регистрации нормативных правовых актов под № 16137):</w:t>
      </w:r>
    </w:p>
    <w:p>
      <w:r>
        <w:t xml:space="preserve">заголовок указанного приказа изложить в следующей редакции:</w:t>
      </w:r>
    </w:p>
    <w:p>
      <w:r>
        <w:t xml:space="preserve">"Об утверждении Методики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обучения";</w:t>
      </w:r>
    </w:p>
    <w:p>
      <w:r>
        <w:t xml:space="preserve">пункт 1 указанного приказа изложить в следующей редакции:</w:t>
      </w:r>
    </w:p>
    <w:p>
      <w:r>
        <w:t xml:space="preserve">"1. Утвердить прилагаемую Методику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обучения.";</w:t>
      </w:r>
    </w:p>
    <w:p>
      <w:r>
        <w:t xml:space="preserve">в Методике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обучения, утвержденной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"Методика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обучения";</w:t>
      </w:r>
    </w:p>
    <w:p>
      <w:r>
        <w:t xml:space="preserve">пункт 1 изложить в следующей редакции:</w:t>
      </w:r>
    </w:p>
    <w:p>
      <w:r>
        <w:t xml:space="preserve">"1. Настоящая Методика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 (далее – Методика) разработана в соответствии с подпунктом 46-1) статьи 5 Закона Республики Казахстан "Об образовании" (далее – Закон), определяет единый подход при расчете подушевого норматива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 (далее – все уровни образования) и применяется для планирования объема подушевого нормативного финансирования организаций образования и объема государственного образовательного заказа.</w:t>
      </w:r>
    </w:p>
    <w:p>
      <w:r>
        <w:t xml:space="preserve">Действие настоящей Методики не распространяется на отношения между местными исполнительными органами и организациями высшего и (или) послевузовского образования, возникающие при финансировании последних за счет средств местного бюджета.";</w:t>
      </w:r>
    </w:p>
    <w:p>
      <w:r>
        <w:t xml:space="preserve">подпункт 4) пункта 2 изложить в следующей редакции:</w:t>
      </w:r>
    </w:p>
    <w:p>
      <w:r>
        <w:t xml:space="preserve">"4) норматив стоимости одного академического кредита – соотношение подушевого норматива финансирования на одного обучающегося за полный срок обучения в зависимости от профиля образования в организациях технического и профессионального, послесреднего образования, уровня образования (высшее или послевузовское) и области образования в организациях высшего и послевузовского образования к общей трудоемкости образовательной программы в академических кредитах;";</w:t>
      </w:r>
    </w:p>
    <w:p>
      <w:r>
        <w:t xml:space="preserve">пункт 8 изложить в следующей редакции:</w:t>
      </w:r>
    </w:p>
    <w:p>
      <w:r>
        <w:t xml:space="preserve">"8. Расчет объема подушевого нормативного финансирования ТиПО и ПО и подушевого норматива финансирования производится по следующим формулам:</w:t>
      </w:r>
    </w:p>
    <w:p>
      <w:pPr>
        <w:pStyle w:val="Heading2"/>
      </w:pPr>
      <w:r>
        <w:t xml:space="preserve">Подпункт 1</w:t>
      </w:r>
    </w:p>
    <w:p>
      <w:r>
        <w:t xml:space="preserve">1) Vпф - годовой объем подушевого нормативного финансирования организации ТиПО и ПО, рассчитывается по формуле:</w:t>
      </w:r>
    </w:p>
    <w:p>
      <w:r>
        <w:t xml:space="preserve">где:</w:t>
      </w:r>
    </w:p>
    <w:p>
      <w:r>
        <w:t xml:space="preserve">Nz - подушевой норматив финансирования на одного обучающегося в год;</w:t>
      </w:r>
    </w:p>
    <w:p>
      <w:r>
        <w:t xml:space="preserve">z - индекс профиля обучения по группам затратности;</w:t>
      </w:r>
    </w:p>
    <w:p>
      <w:r>
        <w:t xml:space="preserve">Контz - среднегодовой контингент обучающихся по профилю образования рассчитывается по следующей формуле:</w:t>
      </w:r>
    </w:p>
    <w:p>
      <w:r>
        <w:t xml:space="preserve">Контz = число обучающихся на начало года + 1/3 приема на обучение - 1/2 ожидаемого выпуска обучающихся - ожидаемый отсев обучающихся + ожидаемое прибытие обучающихся;</w:t>
      </w:r>
    </w:p>
    <w:p>
      <w:r>
        <w:t xml:space="preserve">При наличии в одной организации ТиПО и ПО нескольких видов профилей образования, объем подушевого нормативного финансирования определяется суммарно, исходя из подушевого норматива финансирования на одного обучающегося по профилям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Nz - подушевой норматив финансирования на одного обучающегося в год рассчитывается по следующей формуле:</w:t>
      </w:r>
    </w:p>
    <w:p>
      <w:r>
        <w:t xml:space="preserve">где:</w:t>
      </w:r>
    </w:p>
    <w:p>
      <w:r>
        <w:t xml:space="preserve">Еz - норма расходов образовательного процесса на одного обучающегося в год.</w:t>
      </w:r>
    </w:p>
    <w:p>
      <w:r>
        <w:t xml:space="preserve">Еz для обучающегося с особыми образовательными потребностями умножается на 2;</w:t>
      </w:r>
    </w:p>
    <w:p>
      <w:r>
        <w:t xml:space="preserve">L - норма расходов образовательной среды на одного обучающегося в год;</w:t>
      </w:r>
    </w:p>
    <w:p>
      <w:pPr>
        <w:pStyle w:val="Heading2"/>
      </w:pPr>
      <w:r>
        <w:t xml:space="preserve">Подпункт 3</w:t>
      </w:r>
    </w:p>
    <w:p>
      <w:r>
        <w:t xml:space="preserve">3) Еz - норма расходов образовательного процесса по профилям образования в расчете на одного обучающегося в год рассчитывается по следующей формуле:</w:t>
      </w:r>
    </w:p>
    <w:p>
      <w:r>
        <w:t xml:space="preserve">где:</w:t>
      </w:r>
    </w:p>
    <w:p>
      <w:r>
        <w:t xml:space="preserve">Т - годовой фонд оплаты труда управленческого персонала и педагогов, задействованного в образовательном процессе, в расчете на одного обучающегося в год;</w:t>
      </w:r>
    </w:p>
    <w:p>
      <w:r>
        <w:t xml:space="preserve">Y - учебники, учебно-методическая литература и пособия, в год на одного обучающегося, которые составляют 5 МРП;</w:t>
      </w:r>
    </w:p>
    <w:p>
      <w:r>
        <w:t xml:space="preserve">Xz – учебные расходы, связанные с образовательным процессом, в том числе при прохождении производственного обучения и профессиональной практики, в год в расчете на одного обучающегося. Значения Xz определяются в соответствии с приказом Министра образования и науки Республики Казахстан от 27 сентября 2018 года № 500 "Об утверждении Классификатора специальностей и квалификаций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17564), и составляют:</w:t>
      </w:r>
    </w:p>
    <w:p>
      <w:r>
        <w:t xml:space="preserve">группа А (Образование: Подготовка воспитателей для дошкольных учреждений, Подготовка преподавателей без предметной специализации, Подготовка преподавателей с предметной специализацией, за исключением профессиональное обучение; Искусство и гуманитарные науки: Изобразительное искусство: Каллиграфия, Религия и теология; Социальные науки и информации: Библиотечное дело, обработка информации и архивное дело; Бизнес, управление и право: Право; Инженерные, обрабатывающие и строительные отрасли: Метрология, стандартизация и сертификация) – 6 МРП;</w:t>
      </w:r>
    </w:p>
    <w:p>
      <w:r>
        <w:t xml:space="preserve">группа Б (Образование: профессиональное обучение; Искусство и гуманитарные науки: Изучение языка, Аудиовизуальные средства и медиа производство; Бизнес, управление и право: все, за исключением Право; Естественные науки, математика и статистика; Информационно-коммуникационные технологии; Инженерные, обрабатывающие и строительные отрасли: Механика и металлообработка: Слесарное дело; Электроника и автоматизация; Монтаж, техническое обслуживание и ремонт медицинской техники, Цифровая техника; Сельское, лесное, рыболовное хозяйство и ветеринария; Здравоохранение и социальное обеспечение: Социальная работа и консультирование; Службы: за исключением специальностей Организация питания, Туризм и Управление дестинацией) – 8 МРП;</w:t>
      </w:r>
    </w:p>
    <w:p>
      <w:r>
        <w:t xml:space="preserve">группа В (Искусство и гуманитарные науки: Мода, дизайн интерьеров и промышленный дизайн, Ремесленное производство: реставрация, ювелирное дело, Музыка и театральное искусство: Социально-культурная деятельность, Народное художественное творчество; Естественные науки, математика и статистика: все за исключением специальностей Математика и статистика; Инженерные, обрабатывающие и строительные отрасли: все за исключением специальностей Метрология, стандартизация и сертификация, Слесарное дело, Монтаж, техническое обслуживание и ремонт медицинской техники, Цифровая техника, Электрорадиомонтаж морской техники; Службы: все, в том числе специальность Организация питания, за исключением специальностей Туризм и Военное дело и безопасность) – 19 МРП;</w:t>
      </w:r>
    </w:p>
    <w:p>
      <w:r>
        <w:t xml:space="preserve">группа Г (Инженерные, обрабатывающие и строительные отрасли: Эксплуатация водного транспорта; Автотранспортные средства, морские и воздушные суда: электрорадиомонтаж морской техники) – 44 МРП;</w:t>
      </w:r>
    </w:p>
    <w:p>
      <w:pPr>
        <w:pStyle w:val="Heading2"/>
      </w:pPr>
      <w:r>
        <w:t xml:space="preserve">Подпункт 4</w:t>
      </w:r>
    </w:p>
    <w:p>
      <w:r>
        <w:t xml:space="preserve">4) Т рассчитывается по формуле:</w:t>
      </w:r>
    </w:p>
    <w:p>
      <w:r>
        <w:t xml:space="preserve">где:</w:t>
      </w:r>
    </w:p>
    <w:p>
      <w:r>
        <w:t xml:space="preserve">Тосн. - годовой фонд оплаты труда управленческого персонала и педагогов, задействованных в образовательном процессе, организации ТиПО и ПО (c учетом лабораторных работ и практических, индивидуальных занятий), без учета компенсационных выплат;</w:t>
      </w:r>
    </w:p>
    <w:p>
      <w:r>
        <w:t xml:space="preserve">Ткомп. - годовой объем расходов на выплату пособий на оздоровление к ежегодному оплачиваемому трудовому отпуску работников организации ТиПО и ПО;</w:t>
      </w:r>
    </w:p>
    <w:p>
      <w:r>
        <w:t xml:space="preserve">12 - количество месяцев в году для перехода от расчета нормативных затрат в месяц к расчету нормативных затрат в год;</w:t>
      </w:r>
    </w:p>
    <w:p>
      <w:r>
        <w:t xml:space="preserve">W - фонд оплаты труда педагогов и управленческого персонала организации ТиПО и ПО в месяц;</w:t>
      </w:r>
    </w:p>
    <w:p>
      <w:r>
        <w:t xml:space="preserve">е - коэффициент доплаты ежегодного дополнительного оплачиваемого отпуска за проживание в зонах экологического бедствия в соответствии с Законом о защите пострадавших вследствие экологического бедствия - 0,30.</w:t>
      </w:r>
    </w:p>
    <w:p>
      <w:r>
        <w:t xml:space="preserve">В случае, если данная доплата не предусмотрена Законом о защите пострадавших вследствие экологического бедствия, e равняется 0;</w:t>
      </w:r>
    </w:p>
    <w:p>
      <w:r>
        <w:t xml:space="preserve">r - коэффициент доплаты ежегодного дополнительного оплачиваемого отпуска за проживание в зоне радиационного риска в соответствии с Законом о защите пострадавших на ядерном полигоне - 0,33.</w:t>
      </w:r>
    </w:p>
    <w:p>
      <w:r>
        <w:t xml:space="preserve">В случае, если данная доплата не предусмотрена Законом о защите пострадавших на ядерном полигоне, r равняется 0;</w:t>
      </w:r>
    </w:p>
    <w:p>
      <w:r>
        <w:t xml:space="preserve">sno - коэффициент социального налога и социальных отчислений - 1,0855;</w:t>
      </w:r>
    </w:p>
    <w:p>
      <w:r>
        <w:t xml:space="preserve">mp - коэффициент отчислений работодателя в фонд обязательного медицинского страхования:</w:t>
      </w:r>
    </w:p>
    <w:p>
      <w:r>
        <w:t xml:space="preserve">на 2020 год - 1,02;</w:t>
      </w:r>
    </w:p>
    <w:p>
      <w:r>
        <w:t xml:space="preserve">на 2021 год - 1,02;</w:t>
      </w:r>
    </w:p>
    <w:p>
      <w:r>
        <w:t xml:space="preserve">на 2022 и последующие годы - 1,03;</w:t>
      </w:r>
    </w:p>
    <w:p>
      <w:r>
        <w:t xml:space="preserve">mv - коэффициент часа-обучающегося (соотношение количества учебных часов к одному обучающемуся с учетом нормативной учебной нагрузки), который зависит от расчетной наполняемости групп;</w:t>
      </w:r>
    </w:p>
    <w:p>
      <w:r>
        <w:t xml:space="preserve">mvg - коэффициент часа-обучающегося (соотношение количества учебных часов к одному обучающемуся с учетом проведения лабораторных работ и практических занятий);</w:t>
      </w:r>
    </w:p>
    <w:p>
      <w:r>
        <w:t xml:space="preserve">g - индекс лабораторных работ и практических занятий;</w:t>
      </w:r>
    </w:p>
    <w:p>
      <w:r>
        <w:t xml:space="preserve">mvi - коэффициент часа-обучающегося (соотношение количества индивидуальных часов на одного обучающегося к нормативной учебной нагрузке);</w:t>
      </w:r>
    </w:p>
    <w:p>
      <w:r>
        <w:t xml:space="preserve">Экомп1 - материальная помощь на оздоровление сверх действующих выплат к ежегодному оплачиваемому трудовому отпуску, в соответствии с Законом о защите пострадавших вследствие экологического бедствия педагогам и управленческому персоналу, задействованному в образовательном процессе, рассчитывается по формуле:</w:t>
      </w:r>
    </w:p>
    <w:p>
      <w:r>
        <w:t xml:space="preserve">В случае, если данная доплата не предусмотрена Законом о защите пострадавших вследствие экологического бедствия, Экомп 1 равняется 0;</w:t>
      </w:r>
    </w:p>
    <w:p>
      <w:pPr>
        <w:pStyle w:val="Heading2"/>
      </w:pPr>
      <w:r>
        <w:t xml:space="preserve">Подпункт 5</w:t>
      </w:r>
    </w:p>
    <w:p>
      <w:r>
        <w:t xml:space="preserve">5) W - фонд оплаты труда педагогов и управленческого персонала, задействованного в образовательном процессе, в месяц рассчитывается по формуле:</w:t>
      </w:r>
    </w:p>
    <w:p>
      <w:r>
        <w:t xml:space="preserve">где:</w:t>
      </w:r>
    </w:p>
    <w:p>
      <w:r>
        <w:t xml:space="preserve">ДО - должностной оклад основного персонала, участвующего в образовательном процессе в месяц, определяется путем умножения БДО на коэффициент 5,03;</w:t>
      </w:r>
    </w:p>
    <w:p>
      <w:r>
        <w:t xml:space="preserve">ks - коэффициент доплаты специалистам за работу в сельской местности, составляет:</w:t>
      </w:r>
    </w:p>
    <w:p>
      <w:r>
        <w:t xml:space="preserve">для городской организации ТиПО и ПО - 1;</w:t>
      </w:r>
    </w:p>
    <w:p>
      <w:r>
        <w:t xml:space="preserve">для сельской организации ТиПО и ПО - 1,25;</w:t>
      </w:r>
    </w:p>
    <w:p>
      <w:r>
        <w:t xml:space="preserve">f - коэффициент расчета фонда заработной платы управленческого персонала, участвующего в образовательном процессе - 1,084;</w:t>
      </w:r>
    </w:p>
    <w:p>
      <w:r>
        <w:t xml:space="preserve">Доу1 - коэффициент надбавки за особые условия труда персонала, участвующего в образовательном процессе - 0,611;</w:t>
      </w:r>
    </w:p>
    <w:p>
      <w:r>
        <w:t xml:space="preserve">u - коэффициент доплат преподавателям и мастерам производственного обучения:</w:t>
      </w:r>
    </w:p>
    <w:p>
      <w:r>
        <w:t xml:space="preserve">до 31 августа 2020 года - 0,499;</w:t>
      </w:r>
    </w:p>
    <w:p>
      <w:r>
        <w:t xml:space="preserve">с 1 сентября 2020 года - 0,571;</w:t>
      </w:r>
    </w:p>
    <w:p>
      <w:r>
        <w:t xml:space="preserve">ke1 - коэффициент доплаты за проживание в зоне экологического бедствия в соответствии с Законом о защите пострадавших вследствие экологического бедствия персонала, участвующего в образовательном процессе - 1,83.</w:t>
      </w:r>
    </w:p>
    <w:p>
      <w:r>
        <w:t xml:space="preserve">В случае, если данная доплата не предусмотрена Законом о защите пострадавших вследствие экологического бедствия, коэффициент, ke1 равняется 0;</w:t>
      </w:r>
    </w:p>
    <w:p>
      <w:r>
        <w:t xml:space="preserve">R - доплата за проживание в зоне радиационного риска в соответствии с Законом о защите пострадавших на ядерном полигоне - 1,5 МРП.</w:t>
      </w:r>
    </w:p>
    <w:p>
      <w:r>
        <w:t xml:space="preserve">В случае, если данная доплата не предусмотрена Законом о защите пострадавших на ядерном полигоне, R равняется 0;</w:t>
      </w:r>
    </w:p>
    <w:p>
      <w:pPr>
        <w:pStyle w:val="Heading2"/>
      </w:pPr>
      <w:r>
        <w:t xml:space="preserve">Подпункт 6</w:t>
      </w:r>
    </w:p>
    <w:p>
      <w:r>
        <w:t xml:space="preserve">6) mv рассчитывается по формуле:</w:t>
      </w:r>
    </w:p>
    <w:p>
      <w:r>
        <w:t xml:space="preserve">mvg рассчитывается по формуле:</w:t>
      </w:r>
    </w:p>
    <w:p>
      <w:r>
        <w:t xml:space="preserve">mvi рассчитывается по формуле:</w:t>
      </w:r>
    </w:p>
    <w:p>
      <w:r>
        <w:t xml:space="preserve">где:</w:t>
      </w:r>
    </w:p>
    <w:p>
      <w:r>
        <w:t xml:space="preserve">t - количество часов в неделю по ГОСО ТиПО и ПО;</w:t>
      </w:r>
    </w:p>
    <w:p>
      <w:r>
        <w:t xml:space="preserve">tg - количество часов лабораторных работ и практических занятий в неделю по ТУП 2;</w:t>
      </w:r>
    </w:p>
    <w:p>
      <w:r>
        <w:t xml:space="preserve">ti - количество индивидуальных часов в неделю по ТУП 2;</w:t>
      </w:r>
    </w:p>
    <w:p>
      <w:r>
        <w:t xml:space="preserve">i - индекс индивидуальных занятий;</w:t>
      </w:r>
    </w:p>
    <w:p>
      <w:r>
        <w:t xml:space="preserve">n - нормативная учебная нагрузка в неделю;</w:t>
      </w:r>
    </w:p>
    <w:p>
      <w:r>
        <w:t xml:space="preserve">d - расчетная наполняемость групп;</w:t>
      </w:r>
    </w:p>
    <w:p>
      <w:r>
        <w:t xml:space="preserve">dg - наполняемость групп при проведении лабораторных работ и практических занятий.</w:t>
      </w:r>
    </w:p>
    <w:p>
      <w:r>
        <w:t xml:space="preserve">При расчете mvi, для индивидуальных часов d равен 1.</w:t>
      </w:r>
    </w:p>
    <w:p>
      <w:r>
        <w:t xml:space="preserve">В случае отсутствия индивидуальных часов в учебном плане mvi равняется 0;</w:t>
      </w:r>
    </w:p>
    <w:p>
      <w:pPr>
        <w:pStyle w:val="Heading2"/>
      </w:pPr>
      <w:r>
        <w:t xml:space="preserve">Подпункт 7</w:t>
      </w:r>
    </w:p>
    <w:p>
      <w:r>
        <w:t xml:space="preserve">7) Dual - расходы, передаваемые организациями ТиПО и ПО предприятиям (организациям) при дуальном обучении, рассчитываются в пределах объема подушевого нормативного финансирования по следующей формуле:</w:t>
      </w:r>
    </w:p>
    <w:p>
      <w:r>
        <w:t xml:space="preserve">где:</w:t>
      </w:r>
    </w:p>
    <w:p>
      <w:r>
        <w:t xml:space="preserve">Zp - норма оплаты труда мастеров производственного обучения на одного обучающегося, которая составляет 2,7 БДО;</w:t>
      </w:r>
    </w:p>
    <w:p>
      <w:r>
        <w:t xml:space="preserve">b - среднее плановое количество часов производственного обучения и профессиональной практики при дуальном обучении, которое составляет 1013 часов в год;</w:t>
      </w:r>
    </w:p>
    <w:p>
      <w:r>
        <w:t xml:space="preserve">Chf - фактическое количество часов производственного обучения и профессиональной практики при дуальном обучении;</w:t>
      </w:r>
    </w:p>
    <w:p>
      <w:r>
        <w:t xml:space="preserve">Кy - фактическое количество обучающихся, проходящих производственное обучение и профессиональную практику на данном предприятии (организации).</w:t>
      </w:r>
    </w:p>
    <w:p>
      <w:r>
        <w:t xml:space="preserve">Требования настоящего подпункта не распространяются на предприятия (организации), несущие затраты на дуальное обучение самостоятельно;</w:t>
      </w:r>
    </w:p>
    <w:p>
      <w:pPr>
        <w:pStyle w:val="Heading2"/>
      </w:pPr>
      <w:r>
        <w:t xml:space="preserve">Подпункт 8</w:t>
      </w:r>
    </w:p>
    <w:p>
      <w:r>
        <w:t xml:space="preserve">8) L - норма расходов образовательной среды рассчитывается по формуле:</w:t>
      </w:r>
    </w:p>
    <w:p>
      <w:r>
        <w:t xml:space="preserve">где:</w:t>
      </w:r>
    </w:p>
    <w:p>
      <w:r>
        <w:t xml:space="preserve">Q - годовой фонд оплаты труда персонала, не участвующего в образовательном процессе, в расчете на одного обучающегося в год;</w:t>
      </w:r>
    </w:p>
    <w:p>
      <w:r>
        <w:t xml:space="preserve">S - норма расходов на текущее содержание организаций ТиПО и ПО в год на одного обучающегося, которая различается в зависимости от объемов потребления коммунальных услуг, услуг интернета и их тарифов в регионах:</w:t>
      </w:r>
    </w:p>
    <w:p>
      <w:r>
        <w:t xml:space="preserve">для Мангистауской области, города Алматы - 17 МРП;</w:t>
      </w:r>
    </w:p>
    <w:p>
      <w:r>
        <w:t xml:space="preserve">для Алматинской, Актюбинской, Атырауской, Жамбылской, Карагандинской, Кызылординской, Туркестанской областей, городов Нур-Султан и Шымкент - 22 МРП;</w:t>
      </w:r>
    </w:p>
    <w:p>
      <w:r>
        <w:t xml:space="preserve">для Западно-Казахстанской, Костанайской, Павлодарской, Северо-Казахстанской областей - 29 МРП;</w:t>
      </w:r>
    </w:p>
    <w:p>
      <w:r>
        <w:t xml:space="preserve">для Акмолинской, Восточно-Казахстанской областей - 39 МРП;</w:t>
      </w:r>
    </w:p>
    <w:p>
      <w:pPr>
        <w:pStyle w:val="Heading2"/>
      </w:pPr>
      <w:r>
        <w:t xml:space="preserve">Подпункт 9</w:t>
      </w:r>
    </w:p>
    <w:p>
      <w:r>
        <w:t xml:space="preserve">9) Q рассчитывается по формуле:</w:t>
      </w:r>
    </w:p>
    <w:p>
      <w:r>
        <w:t xml:space="preserve">где:</w:t>
      </w:r>
    </w:p>
    <w:p>
      <w:r>
        <w:t xml:space="preserve">Qосн. - годовой фонд оплаты труда персонала, не участвующего в образовательном процессе, без учета компенсационных выплат;</w:t>
      </w:r>
    </w:p>
    <w:p>
      <w:r>
        <w:t xml:space="preserve">Qкомп. - годовой объем расходов на выплату пособий на оздоровление к ежегодному оплачиваемому трудовому отпуску работников, не участвующих в образовательном процессе;</w:t>
      </w:r>
    </w:p>
    <w:p>
      <w:r>
        <w:t xml:space="preserve">Экомп2 - материальная помощь на оздоровление сверх действующих выплат к ежегодному оплачиваемому трудовому отпуску, в соответствии с Законом о защите пострадавших вследствие экологического бедствия, персонала, не участвующего в образовательном процессе, рассчитывается по формуле:</w:t>
      </w:r>
    </w:p>
    <w:p>
      <w:r>
        <w:t xml:space="preserve">В случае, если данная доплата не предусмотрена Законом о защите пострадавших вследствие экологического бедствия, Экомп 2 равняется 0;</w:t>
      </w:r>
    </w:p>
    <w:p>
      <w:pPr>
        <w:pStyle w:val="Heading2"/>
      </w:pPr>
      <w:r>
        <w:t xml:space="preserve">Подпункт 10</w:t>
      </w:r>
    </w:p>
    <w:p>
      <w:r>
        <w:t xml:space="preserve">10) F - фонд оплаты труда персонала, не участвующего в образовательном процессе, в месяц рассчитывается по формуле:</w:t>
      </w:r>
    </w:p>
    <w:p>
      <w:r>
        <w:t xml:space="preserve">где:</w:t>
      </w:r>
    </w:p>
    <w:p>
      <w:r>
        <w:t xml:space="preserve">h - коэффициент удельного веса заработной платы квалифицированного персонала, не участвующего в образовательном процессе, к заработной плате педагогов - 1,423;</w:t>
      </w:r>
    </w:p>
    <w:p>
      <w:r>
        <w:t xml:space="preserve">q - коэффициент удельного веса заработной платы неквалифицированного персонала, не участвующего в образовательном процессе, для которого не предусмотрена выплата пособий на оздоровление к ежегодному оплачиваемому трудовому отпуску работников - 1,161;</w:t>
      </w:r>
    </w:p>
    <w:p>
      <w:r>
        <w:t xml:space="preserve">Доу2 - коэффициент надбавки за особые условия труда персонала, не участвующего в образовательном процессе - 0,258;</w:t>
      </w:r>
    </w:p>
    <w:p>
      <w:r>
        <w:t xml:space="preserve">ke2 - коэффициент доплаты за проживание в зонах экологического бедствия в соответствии с Законом о защите пострадавших вследствие экологического бедствия персонала, не участвующего в образовательном процессе - 0,775.</w:t>
      </w:r>
    </w:p>
    <w:p>
      <w:r>
        <w:t xml:space="preserve">В случае, если данная доплата не предусмотрена Законом о защите пострадавших вследствие экологического бедствия, ke2 равняется 0.</w:t>
      </w:r>
    </w:p>
    <w:p>
      <w:r>
        <w:t xml:space="preserve">Подушевой норматив финансирования ТиПО и ПО не распространяется на обучающихся, проходящих краткосрочное профессиональное обучение в рамках Государственной программы развития продуктивной занятости и массового предпринимательства на 2017 - 2021 годы "Еңбек", утвержденной постановлением Правительства Республики Казахстан от 13 ноября 2018 года № 746 "Об утверждении Государственной программы развития продуктивной занятости и массового предпринимательства на 2017 - 2021 годы "Еңбек".</w:t>
      </w:r>
    </w:p>
    <w:p>
      <w:pPr>
        <w:pStyle w:val="Heading2"/>
      </w:pPr>
      <w:r>
        <w:t xml:space="preserve">Подпункт 11</w:t>
      </w:r>
    </w:p>
    <w:p>
      <w:r>
        <w:t xml:space="preserve">11) объем подушевого нормативного финансирования ТиПО и ПО с учетом кредитной технологии обучения (Vk) рассчитывается по следующей формуле:</w:t>
      </w:r>
    </w:p>
    <w:p>
      <w:r>
        <w:t xml:space="preserve">Vk = ∑ (Kz * Nz cred * Контz),</w:t>
      </w:r>
    </w:p>
    <w:p>
      <w:r>
        <w:t xml:space="preserve">где:</w:t>
      </w:r>
    </w:p>
    <w:p>
      <w:r>
        <w:t xml:space="preserve">Kz – планируемое годовое количество кредитов на одного обучающегося;</w:t>
      </w:r>
    </w:p>
    <w:p>
      <w:r>
        <w:t xml:space="preserve">Nz cred – норматив стоимости одного академического кредита в разрезе профилей образования ТиПО и ПО.</w:t>
      </w:r>
    </w:p>
    <w:p>
      <w:r>
        <w:t xml:space="preserve">При реализации в одной организации ТиПО и ПО более одного профиля образования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профилям образования;</w:t>
      </w:r>
    </w:p>
    <w:p>
      <w:pPr>
        <w:pStyle w:val="Heading2"/>
      </w:pPr>
      <w:r>
        <w:t xml:space="preserve">Подпункт 12</w:t>
      </w:r>
    </w:p>
    <w:p>
      <w:r>
        <w:t xml:space="preserve">12) Nz cred – норматив стоимости одного академического кредита в разрезе профилей образования ТиПО и ПО рассчитывается по следующей формуле:</w:t>
      </w:r>
    </w:p>
    <w:p>
      <w:r>
        <w:t xml:space="preserve">Nz cred = Nz /69,</w:t>
      </w:r>
    </w:p>
    <w:p>
      <w:r>
        <w:t xml:space="preserve">где:</w:t>
      </w:r>
    </w:p>
    <w:p>
      <w:r>
        <w:t xml:space="preserve">69 – расчетный среднегодовой показатель количества академических кредитов, определенный в соответствии с ГОСО с учетом часов на консультации и факультативные занятия;".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планирования Министерства образования науки Республики Казахстан (Рахметова Ж.И.)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