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29 января 2016 года № 122 "Об утверждении Правил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 и дополнительное образование детей"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08.07.2021. № 156837. редакция от 08.07.2021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29 января 2016 года № 122 "Об утверждении Правил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 и дополнительное образование детей" (зарегистрирован в Реестре государственной регистрации нормативных правовых актов под № 13418) следующие изменения:</w:t>
      </w:r>
    </w:p>
    <w:p>
      <w:r>
        <w:t xml:space="preserve">в Правилах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разработаны в соответствии с подпунктом 43) статьи 5 Закона Республики Казахстан "Об образовании" (далее - Закон) и определяют размещение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 (далее-ОВПО), а также на дошкольное воспитание и обучение, среднее образование и дополнительное образование детей.";</w:t>
      </w:r>
    </w:p>
    <w:p>
      <w:r>
        <w:t xml:space="preserve">пункт 10 изложить в новой редакции:</w:t>
      </w:r>
    </w:p>
    <w:p>
      <w:r>
        <w:t xml:space="preserve">"10. Государственный образовательный заказ на подготовку магистров и докторов философии (PhD)/докторов по профилю, в том числе на целевую подготовку для региональных ОВПО и научных организаций, размещается на конкурсной основе независимо от формы собственности в ОВПО.";</w:t>
      </w:r>
    </w:p>
    <w:p>
      <w:r>
        <w:t xml:space="preserve">пункт 42 изложить в новой редакции:</w:t>
      </w:r>
    </w:p>
    <w:p>
      <w:r>
        <w:t xml:space="preserve">"42. Объявление о проведении Конкурса публикуется на Интернет-ресурсах уполномоченного органа в области образования и (или) уполномоченного органа соответствующей отрасли (далее – УОСО).";</w:t>
      </w:r>
    </w:p>
    <w:p>
      <w:r>
        <w:t xml:space="preserve">пункт 45 изложить в новой редакции:</w:t>
      </w:r>
    </w:p>
    <w:p>
      <w:r>
        <w:t xml:space="preserve">"45. Решения Комиссии принимаются открытым голосованием простым большинством голосов от числа присутствующих на заседании членов Комиссии и оформляются протоколом заседания, который подписывается председателем. При равенстве голосов, голос председателя комиссии является решающим.";</w:t>
      </w:r>
    </w:p>
    <w:p>
      <w:r>
        <w:t xml:space="preserve">пункт 46 изложить в новой редакции:</w:t>
      </w:r>
    </w:p>
    <w:p>
      <w:r>
        <w:t xml:space="preserve">"46. Для участия в конкурсе по размещению государственного образовательного заказа на подготовку кадров с высшим и послевузовским образованием ОВПО подает в электронном формате в уполномоченный орган в области образования и (или) УОСО конкурсную заявку, включающую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заявку ОВПО по установленной форме согласно приложению 8 к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анкету ОВПО по установленной форме согласно приложению 9 к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информационную карту ОВПО по установленной форме согласно приложению 10 к Правилам;</w:t>
      </w:r>
    </w:p>
    <w:p>
      <w:pPr>
        <w:pStyle w:val="Heading2"/>
      </w:pPr>
      <w:r>
        <w:t xml:space="preserve">Подпункт 4</w:t>
      </w:r>
    </w:p>
    <w:p>
      <w:r>
        <w:t xml:space="preserve">4) предложения на размещение государственного образовательного заказа на подготовку кадров с высшим и послевузовским образованием на соответствующий учебный год по установленной форме согласно приложению 11 к Правилам.</w:t>
      </w:r>
    </w:p>
    <w:p>
      <w:r>
        <w:t xml:space="preserve">При возникновении спорных вопросов по показателям информационной карты, представленными ОВПО, в соответствии с подпунктом 3) пункта 46 настоящих Правил Комиссия запрашивает подтверждающие документы.";</w:t>
      </w:r>
    </w:p>
    <w:p>
      <w:r>
        <w:t xml:space="preserve">пункт 47 изложить в новой редакции:</w:t>
      </w:r>
    </w:p>
    <w:p>
      <w:r>
        <w:t xml:space="preserve">"47. Документы, входящие в конкурсную заявку, подписываются первым руководителем ОВПО, заверяются печатью и представляются в электронном формате и (или) онлайн через информационную систему в порядке указанном в объявлении о проведении конкурса.</w:t>
      </w:r>
    </w:p>
    <w:p>
      <w:r>
        <w:t xml:space="preserve">При этом представленные ОВПО сведения при необходимости сверяются на предмет соответствия данных Единой информационной системы образования.";</w:t>
      </w:r>
    </w:p>
    <w:p>
      <w:r>
        <w:t xml:space="preserve">пункт 48 изложить в новой редакции:</w:t>
      </w:r>
    </w:p>
    <w:p>
      <w:r>
        <w:t xml:space="preserve">"48. Конкурсная заявка направляется в уполномоченный орган в области образования и (или) в УОСО в электронном формате не позднее часа и даты, указанных в объявлении о проведении конкурса. Конкурсная заявка, поступившая по истечению срока подачи конкурсных заявок, независимо от причин опоздания, не рассматривается. Внесение каких-либо изменений в конкурсные заявки после истечения срока их подачи не допускается.";</w:t>
      </w:r>
    </w:p>
    <w:p>
      <w:r>
        <w:t xml:space="preserve">пункт 49 изложить в новой редакции:</w:t>
      </w:r>
    </w:p>
    <w:p>
      <w:r>
        <w:t xml:space="preserve">"49. Комиссия рассматривает конкурсные заявки и определяет степень их соответствия требованиям конкурсной документации и проводит их оценку согласно приложению 12 к Правилам.";</w:t>
      </w:r>
    </w:p>
    <w:p>
      <w:r>
        <w:t xml:space="preserve">пункт 50 изложить в новой редакции:</w:t>
      </w:r>
    </w:p>
    <w:p>
      <w:r>
        <w:t xml:space="preserve">"50. В конкурсе по размещению государственного образовательного заказа на подготовку кадров с высшим и послевузовским образованием по группам образовательных программ участвуют ОВПО, прошедшие институциональную и (или) специализированную аккредитацию в аккредитационных органах, внесенных в реестр признанных аккредитационных органов, за исключением военных, специальных учебных заведений.</w:t>
      </w:r>
    </w:p>
    <w:p>
      <w:r>
        <w:t xml:space="preserve">Пороговое значение показателя трудоустройства выпускников ОВПО определяется Комиссией.</w:t>
      </w:r>
    </w:p>
    <w:p>
      <w:r>
        <w:t xml:space="preserve">Исключение составляют новые направления подготовки кадров, впервые получившие лицензию, а также вновь созданные ОВПО для подготовки кадров с высшим и послевузовским образованием по приоритетным отраслям экономики. При этом, перечень ОВПО определяется Комиссией.";</w:t>
      </w:r>
    </w:p>
    <w:p>
      <w:r>
        <w:t xml:space="preserve">пункт 51 изложить в новой редакции:</w:t>
      </w:r>
    </w:p>
    <w:p>
      <w:r>
        <w:t xml:space="preserve">"51. При определении ОВПО и размещении государственного образовательного заказа на подготовку кадров с высшим образованием Комиссия учитывает следующие основные критерии:</w:t>
      </w:r>
    </w:p>
    <w:p>
      <w:pPr>
        <w:pStyle w:val="Heading2"/>
      </w:pPr>
      <w:r>
        <w:t xml:space="preserve">Подпункт 1</w:t>
      </w:r>
    </w:p>
    <w:p>
      <w:r>
        <w:t xml:space="preserve">1) наличие контингента обучающихся по соответствующей группе образовательных программ, за исключением направлений, внесенных впервые в Классификатор направлений подготовки кадров с высшим и послевузовским образованием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кадровое обеспечение ОВПО и материально–техническое обеспечение научно-образовательного процесса;</w:t>
      </w:r>
    </w:p>
    <w:p>
      <w:pPr>
        <w:pStyle w:val="Heading2"/>
      </w:pPr>
      <w:r>
        <w:t xml:space="preserve">Подпункт 3</w:t>
      </w:r>
    </w:p>
    <w:p>
      <w:r>
        <w:t xml:space="preserve">3) обеспеченность учебной, учебно-методической литературой и иными информационными ресурсами;</w:t>
      </w:r>
    </w:p>
    <w:p>
      <w:pPr>
        <w:pStyle w:val="Heading2"/>
      </w:pPr>
      <w:r>
        <w:t xml:space="preserve">Подпункт 4</w:t>
      </w:r>
    </w:p>
    <w:p>
      <w:r>
        <w:t xml:space="preserve">4) научный потенциал и уровень проводимых в ОВПО научных исследований (для ОВПО);</w:t>
      </w:r>
    </w:p>
    <w:p>
      <w:pPr>
        <w:pStyle w:val="Heading2"/>
      </w:pPr>
      <w:r>
        <w:t xml:space="preserve">Подпункт 5</w:t>
      </w:r>
    </w:p>
    <w:p>
      <w:r>
        <w:t xml:space="preserve">5) наличие мест для проживания обучающихся в общежитии, пунктов общественного питания и медицинского обслуживания;</w:t>
      </w:r>
    </w:p>
    <w:p>
      <w:pPr>
        <w:pStyle w:val="Heading2"/>
      </w:pPr>
      <w:r>
        <w:t xml:space="preserve">Подпункт 6</w:t>
      </w:r>
    </w:p>
    <w:p>
      <w:r>
        <w:t xml:space="preserve">6) наличие аккредитованных образовательных программ;</w:t>
      </w:r>
    </w:p>
    <w:p>
      <w:pPr>
        <w:pStyle w:val="Heading2"/>
      </w:pPr>
      <w:r>
        <w:t xml:space="preserve">Подпункт 7</w:t>
      </w:r>
    </w:p>
    <w:p>
      <w:r>
        <w:t xml:space="preserve">7) востребованность и трудоустройство выпускников;</w:t>
      </w:r>
    </w:p>
    <w:p>
      <w:pPr>
        <w:pStyle w:val="Heading2"/>
      </w:pPr>
      <w:r>
        <w:t xml:space="preserve">Подпункт 8</w:t>
      </w:r>
    </w:p>
    <w:p>
      <w:r>
        <w:t xml:space="preserve">8) участие в международном и/или национальном рейтингах ОВПО;</w:t>
      </w:r>
    </w:p>
    <w:p>
      <w:pPr>
        <w:pStyle w:val="Heading2"/>
      </w:pPr>
      <w:r>
        <w:t xml:space="preserve">Подпункт 9</w:t>
      </w:r>
    </w:p>
    <w:p>
      <w:r>
        <w:t xml:space="preserve">9) позиция ОВПО в рейтинге, проводимого НПП "Атамекен".";</w:t>
      </w:r>
    </w:p>
    <w:p>
      <w:r>
        <w:t xml:space="preserve">пункт 52 изложить в новой редакции:</w:t>
      </w:r>
    </w:p>
    <w:p>
      <w:r>
        <w:t xml:space="preserve">"52. При определении ОВПО и размещении государственного образовательного заказа на подготовку кадров с послевузовским образованием, в том числе целевых мест в докторантуре Комиссия учитывает следующие основные критерии:</w:t>
      </w:r>
    </w:p>
    <w:p>
      <w:pPr>
        <w:pStyle w:val="Heading2"/>
      </w:pPr>
      <w:r>
        <w:t xml:space="preserve">Подпункт 1</w:t>
      </w:r>
    </w:p>
    <w:p>
      <w:r>
        <w:t xml:space="preserve">1) участие в международном и/или национальном рейтингах ОВПО;</w:t>
      </w:r>
    </w:p>
    <w:p>
      <w:pPr>
        <w:pStyle w:val="Heading2"/>
      </w:pPr>
      <w:r>
        <w:t xml:space="preserve">Подпункт 2</w:t>
      </w:r>
    </w:p>
    <w:p>
      <w:r>
        <w:t xml:space="preserve">2) наличие договоров с аккредитованными научными организациями-партнерами, в том числе зарубежных, о выполнении совместных научных проектов и предоставлении исследовательской базы;</w:t>
      </w:r>
    </w:p>
    <w:p>
      <w:pPr>
        <w:pStyle w:val="Heading2"/>
      </w:pPr>
      <w:r>
        <w:t xml:space="preserve">Подпункт 3</w:t>
      </w:r>
    </w:p>
    <w:p>
      <w:r>
        <w:t xml:space="preserve">3) наличие научных руководителей из числа профессорско-преподавательского состава ОВПО с учеными степенями доктора наук/кандидата наук, и степенями доктора философии (PhD)/доктора по профилю;</w:t>
      </w:r>
    </w:p>
    <w:p>
      <w:pPr>
        <w:pStyle w:val="Heading2"/>
      </w:pPr>
      <w:r>
        <w:t xml:space="preserve">Подпункт 4</w:t>
      </w:r>
    </w:p>
    <w:p>
      <w:r>
        <w:t xml:space="preserve">4) выполнение с зарубежными вузами-партнерами (научными организациями) совместных научно-образовательных проектов;</w:t>
      </w:r>
    </w:p>
    <w:p>
      <w:pPr>
        <w:pStyle w:val="Heading2"/>
      </w:pPr>
      <w:r>
        <w:t xml:space="preserve">Подпункт 5</w:t>
      </w:r>
    </w:p>
    <w:p>
      <w:r>
        <w:t xml:space="preserve">5) кадровое обеспечение научно-образовательного процесса и соответствующее требованиям на занятие образовательной деятельностью по образовательным программам послевузовского образования (для группы специальностей "Искусство", в том числе преподаватели, удостоенные почетных званий и государственных наград Республики Казахстан);</w:t>
      </w:r>
    </w:p>
    <w:p>
      <w:pPr>
        <w:pStyle w:val="Heading2"/>
      </w:pPr>
      <w:r>
        <w:t xml:space="preserve">Подпункт 6</w:t>
      </w:r>
    </w:p>
    <w:p>
      <w:r>
        <w:t xml:space="preserve">6) доступ к мировым научным и образовательным ресурсам; материально-техническое обеспечение научно-образовательного процесса соответствующее требованиям на занятие образовательной деятельностью по образовательным программам послевузовского образования;</w:t>
      </w:r>
    </w:p>
    <w:p>
      <w:pPr>
        <w:pStyle w:val="Heading2"/>
      </w:pPr>
      <w:r>
        <w:t xml:space="preserve">Подпункт 7</w:t>
      </w:r>
    </w:p>
    <w:p>
      <w:r>
        <w:t xml:space="preserve">7) наличие аккредитованных образовательных программ;</w:t>
      </w:r>
    </w:p>
    <w:p>
      <w:pPr>
        <w:pStyle w:val="Heading2"/>
      </w:pPr>
      <w:r>
        <w:t xml:space="preserve">Подпункт 8</w:t>
      </w:r>
    </w:p>
    <w:p>
      <w:r>
        <w:t xml:space="preserve">8) выполнение научных и научно-технических программ и проектов на основе грантового, программно-целевого финансирования и других источников;</w:t>
      </w:r>
    </w:p>
    <w:p>
      <w:pPr>
        <w:pStyle w:val="Heading2"/>
      </w:pPr>
      <w:r>
        <w:t xml:space="preserve">Подпункт 9</w:t>
      </w:r>
    </w:p>
    <w:p>
      <w:r>
        <w:t xml:space="preserve">9) наличие в ОВПО мест для проживания обучающихся в общежитии, пунктов общественного питания и медицинского обслуживания;</w:t>
      </w:r>
    </w:p>
    <w:p>
      <w:pPr>
        <w:pStyle w:val="Heading2"/>
      </w:pPr>
      <w:r>
        <w:t xml:space="preserve">Подпункт 10</w:t>
      </w:r>
    </w:p>
    <w:p>
      <w:r>
        <w:t xml:space="preserve">10) сведения о трудоустройстве и занятости выпускников в первый год после окончания ОВПО по заявленным специальностям."</w:t>
      </w:r>
    </w:p>
    <w:p>
      <w:r>
        <w:t xml:space="preserve">пункт 53 изложить в новой редакции:</w:t>
      </w:r>
    </w:p>
    <w:p>
      <w:r>
        <w:t xml:space="preserve">"53. Допуск ОВПО к конкурсу, в которых выпускники докторантуры завершили обучение и не получили утверждение степени доктора философии (PhD), доктора по профилю в течение 4-х лет после окончания по соответствующей группе образовательных программ, осуществляется по решению комиссии.";</w:t>
      </w:r>
    </w:p>
    <w:p>
      <w:r>
        <w:t xml:space="preserve">пункт 54 изложить в новой редакции:</w:t>
      </w:r>
    </w:p>
    <w:p>
      <w:r>
        <w:t xml:space="preserve">"54. Для участия в конкурсе по размещению государственного образовательного заказа на обучение слушателей на подготовительном отделении ОВПО подают в электронном формате в уполномоченный орган в области образования и (или) в УОСО конкурсную заявку, включающую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заявку ОВПО по установленной форме согласно приложению 13 к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анкету ОВПО по установленной форме согласно приложению 9 к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предложения на размещение государственного образовательного заказа на обучение слушателей на подготовительном отделении на соответствующий учебный год по установленной форме согласно приложению 14 к Правилам.";</w:t>
      </w:r>
    </w:p>
    <w:p>
      <w:r>
        <w:t xml:space="preserve">пункт 55 изложить в новой редакции:</w:t>
      </w:r>
    </w:p>
    <w:p>
      <w:r>
        <w:t xml:space="preserve">"55. При определении ОВПО и размещении государственного образовательного заказа на обучение слушателей на подготовительном отделении Комиссия руководствуется следующими основными критериями:</w:t>
      </w:r>
    </w:p>
    <w:p>
      <w:pPr>
        <w:pStyle w:val="Heading2"/>
      </w:pPr>
      <w:r>
        <w:t xml:space="preserve">Подпункт 1</w:t>
      </w:r>
    </w:p>
    <w:p>
      <w:r>
        <w:t xml:space="preserve">1) кадровое и материально-техническое обеспечение образовательного процесса и уровень квалификации педагогов, наличие преподавателей по всем предметам Комплексного тестирования абитуриентов;</w:t>
      </w:r>
    </w:p>
    <w:p>
      <w:pPr>
        <w:pStyle w:val="Heading2"/>
      </w:pPr>
      <w:r>
        <w:t xml:space="preserve">Подпункт 2</w:t>
      </w:r>
    </w:p>
    <w:p>
      <w:r>
        <w:t xml:space="preserve">2) обеспеченность учебной, учебно-методической литературой и иными информационными ресурсами;</w:t>
      </w:r>
    </w:p>
    <w:p>
      <w:pPr>
        <w:pStyle w:val="Heading2"/>
      </w:pPr>
      <w:r>
        <w:t xml:space="preserve">Подпункт 3</w:t>
      </w:r>
    </w:p>
    <w:p>
      <w:r>
        <w:t xml:space="preserve">3) наличие в ОВПО мест для проживания обучающихся в общежитии, пунктов общественного питания и медицинского обслуживания.";</w:t>
      </w:r>
    </w:p>
    <w:p>
      <w:r>
        <w:t xml:space="preserve">пункт 57 изложить в новой редакции:</w:t>
      </w:r>
    </w:p>
    <w:p>
      <w:r>
        <w:t xml:space="preserve">"57. Комиссия с учетом оценки принимает решение о размещении государственного образовательного заказа на подготовку кадров с высшим и послевузовским образованием с указанием:</w:t>
      </w:r>
    </w:p>
    <w:p>
      <w:pPr>
        <w:pStyle w:val="Heading2"/>
      </w:pPr>
      <w:r>
        <w:t xml:space="preserve">Подпункт 1</w:t>
      </w:r>
    </w:p>
    <w:p>
      <w:r>
        <w:t xml:space="preserve">1) перечня ОВПО, в которых по условиям конкурса размещается государственный образовательный заказ на подготовку кадров с высшим образованием;</w:t>
      </w:r>
    </w:p>
    <w:p>
      <w:pPr>
        <w:pStyle w:val="Heading2"/>
      </w:pPr>
      <w:r>
        <w:t xml:space="preserve">Подпункт 2</w:t>
      </w:r>
    </w:p>
    <w:p>
      <w:r>
        <w:t xml:space="preserve">2) перечня ОВПО, в которых по условиям конкурса размещается государственный образовательный заказ на подготовку кадров в магистратуре, в том числе с указанием объема квоты для отдельных ОВПО;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базовых ОВПО, в которых по условиям конкурса размещается государственный образовательный заказ на подготовку кадров в докторантуре с указанием объема по группам образовательных программ, в том числе для целевой подготовки докторов философии (PhD)/докторов по профилю;</w:t>
      </w:r>
    </w:p>
    <w:p>
      <w:pPr>
        <w:pStyle w:val="Heading2"/>
      </w:pPr>
      <w:r>
        <w:t xml:space="preserve">Подпункт 4</w:t>
      </w:r>
    </w:p>
    <w:p>
      <w:r>
        <w:t xml:space="preserve">4) ОВПО, в которых размещается государственный образовательный заказ для обучения слушателей на подготовительных отделениях ОВПО, в том числе для повышения уровня языковой подготовки с указанием объема;</w:t>
      </w:r>
    </w:p>
    <w:p>
      <w:pPr>
        <w:pStyle w:val="Heading2"/>
      </w:pPr>
      <w:r>
        <w:t xml:space="preserve">Подпункт 5</w:t>
      </w:r>
    </w:p>
    <w:p>
      <w:r>
        <w:t xml:space="preserve">5) ОВПО, в которых по условиям конкурса размещается государственный образовательный заказ на подготовку педагогов с высшим образованием с указанием объема по группам образовательных программ.";</w:t>
      </w:r>
    </w:p>
    <w:p>
      <w:r>
        <w:t xml:space="preserve">пункт 58 изложить в новой редакции:</w:t>
      </w:r>
    </w:p>
    <w:p>
      <w:r>
        <w:t xml:space="preserve">"58. По результатам работы конкурсной комиссии приказом Министра или лицом, исполняющим его обязанности, утверждается размещение государственного образовательного заказа на подготовку кадров с высшим и послевузовским образованием и публикуется на интернет-ресурсах уполномоченного органа в области образования и (или) в УОСО.";</w:t>
      </w:r>
    </w:p>
    <w:p>
      <w:pPr>
        <w:pStyle w:val="Heading2"/>
      </w:pPr>
      <w:r>
        <w:t xml:space="preserve">Приложение приложение 10 и 12 изложить в новой редакции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1 к приказу Министра образования и науки Республики Казахстан от 8 июля 2021 года № 321 |</w:t>
      </w:r>
    </w:p>
    <w:p>
      <w:r>
        <w:t xml:space="preserve">|---|---|</w:t>
      </w:r>
    </w:p>
    <w:p>
      <w:r>
        <w:t xml:space="preserve">|  | Приложение 10 к Правилам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 и дополнительное образование детей |</w:t>
      </w:r>
    </w:p>
    <w:p>
      <w:pPr>
        <w:pStyle w:val="Heading2"/>
      </w:pPr>
      <w:r>
        <w:t xml:space="preserve">Глава Информационная карта организации высшего и (или) послевузовского образования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наименование (организации высшего и (или) послевузовского образования) ________________________________________________________________ (код, наименование групп образовательных программ)</w:t>
      </w:r>
    </w:p>
    <w:p>
      <w:r>
        <w:t xml:space="preserve">| № п/п | Общие сведения о организаций высшего и (или) послевузовского образования | Тип значений |</w:t>
      </w:r>
    </w:p>
    <w:p>
      <w:r>
        <w:t xml:space="preserve">|---|---|---|</w:t>
      </w:r>
    </w:p>
    <w:p>
      <w:r>
        <w:t xml:space="preserve">| 1. | Институциональная и (или) специализированная аккредитация | есть/нет |</w:t>
      </w:r>
    </w:p>
    <w:p>
      <w:r>
        <w:t xml:space="preserve">| 2. | Наличие образовательного портала | есть/нет |</w:t>
      </w:r>
    </w:p>
    <w:p>
      <w:r>
        <w:t xml:space="preserve">| 3. | Международный рейтинг: -Times higher education -- QS World University Rankings - | Позиция: (100+) =15 баллов; (200+) =13 баллов; (300+) =11 баллов; (400+) =9 баллов; (500+) =7 балла; (700+) =5 балла. |</w:t>
      </w:r>
    </w:p>
    <w:p>
      <w:r>
        <w:t xml:space="preserve">| 4. | Доля средств от бюджета организаций высшего и (или) послевузовского образования выделяемых на обновление учебно-лабораторной базы, используемой для учебного процесса | За каждый 1% - +1 балл от бюджета вуза. |</w:t>
      </w:r>
    </w:p>
    <w:p>
      <w:r>
        <w:t xml:space="preserve">| 5. | Наличие собственного или арендованного общежития, хостела, гостиницы, соответствующего требованиям нормативных правовых актов в сфере санитарно-эпидемиологического благополучия, предъявляемым к объектам образования, в том числе для лиц, с особыми образовательными потребностями | За каждые 500 мест – 1 балл; 1000 мест – 2 балла. |</w:t>
      </w:r>
    </w:p>
    <w:p>
      <w:r>
        <w:t xml:space="preserve">| 6. | Отсутствие организаций высшего и (или) послевузовского образования в Реестре недобросовестных участников госзакупок портала Государственных закупок Республики Казахстан на момент подачи документов на участие в конкурсе | есть/нет |</w:t>
      </w:r>
    </w:p>
    <w:p>
      <w:r>
        <w:t xml:space="preserve">| 7. | Наличие в ОВПО условий для лиц, с особыми образовательными потребностями (входных путей, средств информационно-навигационной поддержки, дублирование лестниц пандусами или подъемными устройствами, оборудование лестниц и пандусов поручнями, окрашивание контрастной краской дверей и лестниц, выделение мест для парковки автотранспортных средств инвалидов). | есть/нет |</w:t>
      </w:r>
    </w:p>
    <w:p>
      <w:r>
        <w:t xml:space="preserve">| 8. | Наличие информационной системы организаций высшего и (или) послевузовского образования с актуальными базами данных о контингенте студентов и ППС в соответствии с требованиями, утвержденными уполномоченным органом в области образования, и соответствие фактических данных с национальной образовательной базой данных | есть/нет |</w:t>
      </w:r>
    </w:p>
    <w:p>
      <w:r>
        <w:t xml:space="preserve">| I. | Общие сведения по группам образовательных программ высшего и послевузовского образования |  |</w:t>
      </w:r>
    </w:p>
    <w:p>
      <w:r>
        <w:t xml:space="preserve">| 1. | Приложение к лицензии на право ведения образовательной деятельности по направлениям подготовки с высшим и послевузовским образованием (допуск/ не допуск) | допуск/ не допуск |</w:t>
      </w:r>
    </w:p>
    <w:p>
      <w:r>
        <w:t xml:space="preserve">| 2. | Институциональная и (или) специализированная аккредитация | Наличие институциональной и (или) специализированной аккредитации +2 баллов |</w:t>
      </w:r>
    </w:p>
    <w:p>
      <w:r>
        <w:t xml:space="preserve">| 3. | Позиция образовательной программы организаций высшего и (или) послевузовского образования в рейтинге НПП "Атамекен" | Выше среднего – 50 баллов; Среднее – 30 баллов; Ниже среднего - 10 баллов. |</w:t>
      </w:r>
    </w:p>
    <w:p>
      <w:r>
        <w:t xml:space="preserve">| 4. | Трудоустройство выпускников, % трудоустроенных выпускников по группам образовательной программы | Более 80 % - 3 балла; 70%- 2 балла; более 60 % - 1 балл; менее 50% - 0 балл. |</w:t>
      </w:r>
    </w:p>
    <w:p>
      <w:r>
        <w:t xml:space="preserve">| 5. | Наличие образовательных программ зарегистрированных в реестре образовательных программ по соответствующим группам образовательных программ | есть/нет |</w:t>
      </w:r>
    </w:p>
    <w:p>
      <w:r>
        <w:t xml:space="preserve">| 6. | Наличие образовательных программ на английском языке, зарегистрированном в реестре образовательных программ | есть/нет |</w:t>
      </w:r>
    </w:p>
    <w:p>
      <w:r>
        <w:t xml:space="preserve">| ІІ. | Кадровое обеспечение и уровень квалификации педагогов |  |</w:t>
      </w:r>
    </w:p>
    <w:p>
      <w:r>
        <w:t xml:space="preserve">| 1.1. | Общее количество штатных преподавателей: | число, целое |</w:t>
      </w:r>
    </w:p>
    <w:p>
      <w:r>
        <w:t xml:space="preserve">| докторов наук | число, целое |  |</w:t>
      </w:r>
    </w:p>
    <w:p>
      <w:r>
        <w:t xml:space="preserve">| докторов PhD | число, целое |  |</w:t>
      </w:r>
    </w:p>
    <w:p>
      <w:r>
        <w:t xml:space="preserve">| кандидатов наук | число, целое |  |</w:t>
      </w:r>
    </w:p>
    <w:p>
      <w:r>
        <w:t xml:space="preserve">| 1.2. | /в т.ч. по группам образовательных программ (количество) | число, целое |</w:t>
      </w:r>
    </w:p>
    <w:p>
      <w:r>
        <w:t xml:space="preserve">| докторов наук | число, целое |  |</w:t>
      </w:r>
    </w:p>
    <w:p>
      <w:r>
        <w:t xml:space="preserve">| докторов PhD | число, целое |  |</w:t>
      </w:r>
    </w:p>
    <w:p>
      <w:r>
        <w:t xml:space="preserve">| кандидатов наук | число, целое |  |</w:t>
      </w:r>
    </w:p>
    <w:p>
      <w:r>
        <w:t xml:space="preserve">| 1.3. | Количество ППС по профильным дисциплинам, владеющих английским языком с уровнем: IELTS (АЙЛТС) – не менее 4,5; TOEFL PBT – не менее 493; TOEFL ITP – не менее 150 баллов; TOEFL CBT – не менее 166 баллов; TOEFL IBT – не менее 58); CEFR – В1; APTIS – не менее 38. | 5 ППС – 1 балл. |</w:t>
      </w:r>
    </w:p>
    <w:p>
      <w:r>
        <w:t xml:space="preserve">| 2. | Количество иностранных преподавателей, работающих в вузе по контракту на срок не менее одного академического периода | 1 ппс – 0,3 балла. |</w:t>
      </w:r>
    </w:p>
    <w:p>
      <w:r>
        <w:t xml:space="preserve">| 3. | % остепененности ППС по вузу в целом | 10 % -1 балл. |</w:t>
      </w:r>
    </w:p>
    <w:p>
      <w:r>
        <w:t xml:space="preserve">| 4. | % остепененности ППС по образовательной программе | 10 % -1 балл. |</w:t>
      </w:r>
    </w:p>
    <w:p>
      <w:r>
        <w:t xml:space="preserve">| III. | Научно-исследовательская деятельность ППС |  |</w:t>
      </w:r>
    </w:p>
    <w:p>
      <w:r>
        <w:t xml:space="preserve">| 1. | Количество выполняемых научных и научно-технических программ/проектов по фундаментальным исследованиям/ прикладным исследованиям на основе грантового и программно-целевого финансирования | За каждую программу (проект) - 1 балл. |</w:t>
      </w:r>
    </w:p>
    <w:p>
      <w:r>
        <w:t xml:space="preserve">| 2. | Общий объем научно-исследовательских работ, выполненных ППС (в тенге) | Менее 50 млн.тг. – 0,5 баллов; более 50 млн.тг. – 1 балл; более 100 млн.тг. – 2 балла; более 300 млн.тг. – 3 балла; более 500 млн.тг. – 4 балла; более 1000 млн.тг. – 5 баллов; более 50 000 млн.тг. - 10 баллов. |</w:t>
      </w:r>
    </w:p>
    <w:p>
      <w:r>
        <w:t xml:space="preserve">| 3. | Общий объем международных научно-исследовательских работ, выполненных ППС (в тенге) | Менее 50 млн.тг. – 0,5 баллов; более 50 млн.тг. – 1 балл; более 100 млн.тг. – 3 балла; более 150 млн тг. – 3,5 баллов; более 300 млн.тг. – 5 баллов; |</w:t>
      </w:r>
    </w:p>
    <w:p>
      <w:r>
        <w:t xml:space="preserve">| 3.1 | /в т.ч. на 1 штатного преподавателя (в тенге) | Число |</w:t>
      </w:r>
    </w:p>
    <w:p>
      <w:r>
        <w:t xml:space="preserve">| 4. | Количество научных публикаций ППС: |  |</w:t>
      </w:r>
    </w:p>
    <w:p>
      <w:r>
        <w:t xml:space="preserve">| - в зарубежных рейтинговых журналах, включенных в определенные квартили (Q1-Q4) в базы данных Clarivate Analytics или показатель процентиль по CiteScore в базе данных Scopus | 10 статей в журналах Q1-Q2 и/или процентилем по CiteScore выше 90 – 5 баллов; 10 статей в журналах Q3-Q4 и/или процентилем по CiteScore выше 50 – 2 балла; 10 статей в журналах с процентилем по CiteScore выше 35 – 1 балл. |  |</w:t>
      </w:r>
    </w:p>
    <w:p>
      <w:r>
        <w:t xml:space="preserve">| 5. | Количество собственного научного издания | Входящего в список журналов, рекомендованных Комитетом по обеспечению качества в сфере образования и науки Министерства образования и науки Республики Казахстан - 5 баллов 1 журнал; входящего в международную базу данных Web of Science, Scopus – 15 баллов 1 журнал. |</w:t>
      </w:r>
    </w:p>
    <w:p>
      <w:r>
        <w:t xml:space="preserve">| IV. | Корпоративное партнерство и международная деятельность |  |</w:t>
      </w:r>
    </w:p>
    <w:p>
      <w:r>
        <w:t xml:space="preserve">| 1. | Количество совместных (двудипломных) образовательных программ с вузами входящих в рейтинге QS ТОП 700+ | 1 программа – 1 балл. |</w:t>
      </w:r>
    </w:p>
    <w:p>
      <w:pPr>
        <w:pStyle w:val="Heading2"/>
      </w:pPr>
      <w:r>
        <w:t xml:space="preserve">1</w:t>
      </w:r>
    </w:p>
    <w:p>
      <w:r>
        <w:t xml:space="preserve">| № п/п | Общие сведения о организаций высшего и (или) послевузовского образования | Тип значений |</w:t>
      </w:r>
    </w:p>
    <w:p>
      <w:r>
        <w:t xml:space="preserve">|---|---|---|</w:t>
      </w:r>
    </w:p>
    <w:p>
      <w:r>
        <w:t xml:space="preserve">| 2. | Количество совместных финансируемых исследовательских проектов с зарубежными организациями образования | 1 программа – 1 балл. |</w:t>
      </w:r>
    </w:p>
    <w:p>
      <w:r>
        <w:t xml:space="preserve">| 3. | Количество совместных международных образовательных проектов | 1 программа-1 балл.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- в случае, если заявлена группа образовательной программы высшего образования, по которой в течении двух лет не осуществлялась подготовка кадров, соответствующая группа образовательной программы к конкурсу не допускается;</w:t>
      </w:r>
    </w:p>
    <w:p>
      <w:pPr>
        <w:pStyle w:val="Heading2"/>
      </w:pPr>
      <w:r>
        <w:t xml:space="preserve">Текст</w:t>
      </w:r>
    </w:p>
    <w:p>
      <w:r>
        <w:t xml:space="preserve">- в случае, предоставления недостоверных данных, не соответствующих действительности, организации высшего и (или) послевузовского образования к конкурсу не допускаются по решению комиссии.</w:t>
      </w:r>
    </w:p>
    <w:p>
      <w:pPr>
        <w:pStyle w:val="Heading2"/>
      </w:pPr>
      <w:r>
        <w:t xml:space="preserve">Текст</w:t>
      </w:r>
    </w:p>
    <w:p>
      <w:r>
        <w:t xml:space="preserve">- информационная карта подписывается первым руководителем организации высшего и (или) послевузовского образования.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приказу |</w:t>
      </w:r>
    </w:p>
    <w:p>
      <w:r>
        <w:t xml:space="preserve">|  | Приложение 12 к Правилам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 и дополнительное образование детей |</w:t>
      </w:r>
    </w:p>
    <w:p>
      <w:pPr>
        <w:pStyle w:val="Heading2"/>
      </w:pPr>
      <w:r>
        <w:t xml:space="preserve">Глава Методика ранжирования вузов по информационным картам</w:t>
      </w:r>
    </w:p>
    <w:p>
      <w:r>
        <w:t xml:space="preserve">| № п/п | Общие сведения о вузе | Условное обозначение | тип значений |</w:t>
      </w:r>
    </w:p>
    <w:p>
      <w:r>
        <w:t xml:space="preserve">|---|---|---|---|</w:t>
      </w:r>
    </w:p>
    <w:p>
      <w:r>
        <w:t xml:space="preserve">| 1 | Институциональная и (или) специализированная аккредитация | А1 | есть/нет |</w:t>
      </w:r>
    </w:p>
    <w:p>
      <w:r>
        <w:t xml:space="preserve">| 2 | Наличие образовательного портала | А2 | есть/нет |</w:t>
      </w:r>
    </w:p>
    <w:p>
      <w:r>
        <w:t xml:space="preserve">| 3 | Международный рейтинг вуза (место, наименование рейтинга) | А3 | число, целое, 0-1 000 |</w:t>
      </w:r>
    </w:p>
    <w:p>
      <w:r>
        <w:t xml:space="preserve">| 4 | Доля средств от бюджета организаций высшего и (или) послевузовского образования выделяемых на обновление учебно-лабораторной базы, используемой для учебного процесса | А4 | число |</w:t>
      </w:r>
    </w:p>
    <w:p>
      <w:r>
        <w:t xml:space="preserve">| 5 | Наличие собственного или арендованного общежития, хостела, гостиницы, соответствующего требованиям нормативных правовых актов в сфере санитарно-эпидемиологического благополучия, предъявляемым к объектам образования, в том числе для лиц, с особыми образовательными потребностями | А5 | число, целое |</w:t>
      </w:r>
    </w:p>
    <w:p>
      <w:r>
        <w:t xml:space="preserve">| 6 | Отсутствие организаций высшего и (или) послевузовского образования в Реестре недобросовестных участников госзакупок портала Государственных закупок Республики Казахстан на момент подачи документов на участие в конкурсе | А6 | есть/нет |</w:t>
      </w:r>
    </w:p>
    <w:p>
      <w:r>
        <w:t xml:space="preserve">| 7 | Наличие в ОВПО условий для лиц, с особыми образовательными потребностями (входных путей, средств информационно-навигационной поддержки, дублирование лестниц пандусами или подъемными устройствами, оборудование лестниц и пандусов поручнями, окрашивание контрастной краской дверей и лестниц, выделение мест для парковки автотранспортных средств инвалидов). | А7 | есть/нет |</w:t>
      </w:r>
    </w:p>
    <w:p>
      <w:r>
        <w:t xml:space="preserve">| 8 | Наличие информационной системы организаций высшего и (или) послевузовского образования с актуальными базами данных о контингенте студентов и ППС в соответствии с требованиями, утвержденными уполномоченным органом в области образования, и соответствие фактических данных с национальной образовательной базой данных | А8 | есть/нет |</w:t>
      </w:r>
    </w:p>
    <w:p>
      <w:r>
        <w:t xml:space="preserve">| I | Общие сведения по группам образовательных программ |  |  |</w:t>
      </w:r>
    </w:p>
    <w:p>
      <w:r>
        <w:t xml:space="preserve">| 1 | Приложение к лицензии на право ведения образовательной деятельности по направлениям подготовки с высшим и послевузовским образованием (допуск/не допуск) | B1 | допуск/ не допуск |</w:t>
      </w:r>
    </w:p>
    <w:p>
      <w:r>
        <w:t xml:space="preserve">| 2 | Институциональная и (или) специализированная аккредитация | В2 | есть/нет |</w:t>
      </w:r>
    </w:p>
    <w:p>
      <w:r>
        <w:t xml:space="preserve">| 3 | Позиция образовательной программы организаций высшего и (или) послевузовского образования в рейтинге НПП "Атамекен" | В3 | число, целое |</w:t>
      </w:r>
    </w:p>
    <w:p>
      <w:r>
        <w:t xml:space="preserve">| 4 | Трудоустройство выпускников, % трудоустроенных выпускников по группам образовательной программы | В4 | число |</w:t>
      </w:r>
    </w:p>
    <w:p>
      <w:r>
        <w:t xml:space="preserve">| 5 | Наличие образовательных программ зарегистрированных в реестре образовательных программ по соответствующим группам образовательных программ | В5 | есть/нет |</w:t>
      </w:r>
    </w:p>
    <w:p>
      <w:r>
        <w:t xml:space="preserve">| 6 | Наличие образовательных программ на английском языке, зарегистрированном в реестре образовательных программ | В6 | есть/нет |</w:t>
      </w:r>
    </w:p>
    <w:p>
      <w:r>
        <w:t xml:space="preserve">| ІІ. | Кадровое обеспечение и уровень квалификации педагогов |  |  |</w:t>
      </w:r>
    </w:p>
    <w:p>
      <w:r>
        <w:t xml:space="preserve">| 1.1. | Общее количество штатных преподавателей: | C1.1 | число, целое |</w:t>
      </w:r>
    </w:p>
    <w:p>
      <w:r>
        <w:t xml:space="preserve">| докторов наук | C1.1.1 | число, целое |  |</w:t>
      </w:r>
    </w:p>
    <w:p>
      <w:r>
        <w:t xml:space="preserve">| докторов PhD | C1.1.2 | число, целое |  |</w:t>
      </w:r>
    </w:p>
    <w:p>
      <w:r>
        <w:t xml:space="preserve">| кандидатов наук | C1.1.3 | число, целое |  |</w:t>
      </w:r>
    </w:p>
    <w:p>
      <w:r>
        <w:t xml:space="preserve">| 1.2. | /в т.ч. по группам образовательных программ (количество) | C1.2 | число, целое |</w:t>
      </w:r>
    </w:p>
    <w:p>
      <w:r>
        <w:t xml:space="preserve">| докторов наук | C1.2.1 | число, целое |  |</w:t>
      </w:r>
    </w:p>
    <w:p>
      <w:r>
        <w:t xml:space="preserve">| докторов PhD | C1.2.2 | число, целое |  |</w:t>
      </w:r>
    </w:p>
    <w:p>
      <w:r>
        <w:t xml:space="preserve">| кандидатов наук | C1.2.3 | число, целое |  |</w:t>
      </w:r>
    </w:p>
    <w:p>
      <w:r>
        <w:t xml:space="preserve">| магистров | C1.2.4 | число, целое |  |</w:t>
      </w:r>
    </w:p>
    <w:p>
      <w:r>
        <w:t xml:space="preserve">| 1.3 | Количество ППС по профильным дисциплинам, владеющих английским языком с уровнем: IELTS (АЙЛТС) – не менее 4,5; TOEFL PBT – не менее 493; TOEFL ITP – не менее 150 баллов; TOEFL CBT – не менее 166 баллов; TOEFL IBT – не менее 58); CEFR – В1; APTIS – не менее 38. | C1.3 | число, целое |</w:t>
      </w:r>
    </w:p>
    <w:p>
      <w:r>
        <w:t xml:space="preserve">| 2 | Количество иностранных преподавателей, работающих в вузе по контракту на срок не менее академического периода | C2 | число, целое |</w:t>
      </w:r>
    </w:p>
    <w:p>
      <w:r>
        <w:t xml:space="preserve">| 3 | % остепененности ППС по вузу в целом*** | C3 | число |</w:t>
      </w:r>
    </w:p>
    <w:p>
      <w:r>
        <w:t xml:space="preserve">| 4 | % остепененности ППС профильных дисциплин по группам образовательных программ*** | C4 | число |</w:t>
      </w:r>
    </w:p>
    <w:p>
      <w:r>
        <w:t xml:space="preserve">| III | Научно-исследовательская деятельность ППС |  |  |</w:t>
      </w:r>
    </w:p>
    <w:p>
      <w:r>
        <w:t xml:space="preserve">| 1 | Количество выполняемых научных и научно-технических программ/проектов по фундаментальным исследованиям/ прикладным исследованиям на основе грантового и программно-целевого финансирования | D1 | число, целое |</w:t>
      </w:r>
    </w:p>
    <w:p>
      <w:r>
        <w:t xml:space="preserve">| 2 | Общий объем научно-исследовательских работ, выполненных ППС (в тенге) | D2 | число |</w:t>
      </w:r>
    </w:p>
    <w:p>
      <w:r>
        <w:t xml:space="preserve">| 3 | Общий объем международных научно-исследовательских работ, выполненных ППС (в тенге) | D3 | число |</w:t>
      </w:r>
    </w:p>
    <w:p>
      <w:r>
        <w:t xml:space="preserve">| 3.1 | /в т.ч. на 1 штатного преподавателя (в тенге) | D3.1 | число |</w:t>
      </w:r>
    </w:p>
    <w:p>
      <w:r>
        <w:t xml:space="preserve">| 4 | Количество научных публикаций ППС: - в зарубежных рейтинговых журналах, включенных в определенные квартили (Q1-Q4) в базы данных Clarivate Analytics или показатель процентиль по CiteScore в базе данных Scopus | D4 | число, целое |</w:t>
      </w:r>
    </w:p>
    <w:p>
      <w:r>
        <w:t xml:space="preserve">| 5 | Количество собственного научного издания | D5 | число, целое |</w:t>
      </w:r>
    </w:p>
    <w:p>
      <w:r>
        <w:t xml:space="preserve">| IV | Корпоративное партнерство и международная деятельность |  |  |</w:t>
      </w:r>
    </w:p>
    <w:p>
      <w:r>
        <w:t xml:space="preserve">| 1 | Количество совместных (двудипломных) образовательных программ с вузами входящих в рейтинге QS ТОП 700+ | E1 | число, целое |</w:t>
      </w:r>
    </w:p>
    <w:p>
      <w:r>
        <w:t xml:space="preserve">| 2 | Количество совместных финансируемых исследовательских проектов с зарубежными организациями образования | E2 | число, целое |</w:t>
      </w:r>
    </w:p>
    <w:p>
      <w:r>
        <w:t xml:space="preserve">| 3 | Количество совместных международных образовательных проектов | E3 | число, целое |</w:t>
      </w:r>
    </w:p>
    <w:p>
      <w:pPr>
        <w:pStyle w:val="Heading2"/>
      </w:pPr>
      <w:r>
        <w:t xml:space="preserve">Текст</w:t>
      </w:r>
    </w:p>
    <w:p>
      <w:r>
        <w:t xml:space="preserve">** - пороговое значение показателя трудоустройства выпускников вуза определяется Комиссией;</w:t>
      </w:r>
    </w:p>
    <w:p>
      <w:pPr>
        <w:pStyle w:val="Heading2"/>
      </w:pPr>
      <w:r>
        <w:t xml:space="preserve">Текст</w:t>
      </w:r>
    </w:p>
    <w:p>
      <w:r>
        <w:t xml:space="preserve">*** - высчитываются из предоставленных данных.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