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порядке организации и проведения мирных собраний в Жамбылском районе</w:t>
      </w:r>
    </w:p>
    <w:p>
      <w:r>
        <w:t xml:space="preserve">Решение. Маслихат Жамбылского района (Жамбылская область). от 25.06.2020. № 144165. редакция от 05.03.2024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8 Закона Республики Казахстан от 25 мая 2020 года "О порядке организации и проведения мирных собраний в Республике Казахстан",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Определить специализированные места, порядок использования специальных мест, нормы их предельного наполнения, а также требования к материально-техническому и организационному обеспечению для организации и проведения мирных собраний в Жамбылском районе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решение Жамбылского районного маслихата от 19 февраля 2016 года №50-5 "О дополнительном регламентировании порядка проведения мирных собраний, митингов, шествий, пикетов и демонстраций на территории Жамбылского района" (зарегистрировано в Реестре государственной регистрации нормативных правовых актов от 16 марта 2016 года за № 2988 , опубликовано в информационно-правовой системе "Әділет" от 30.03.2016 г.).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Жамбылского районного маслихата"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Республиканском государственном учреждении "Департамент юстиции Жамбылской области Министерства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Жамбылского районного маслихата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| Д. Жузанов |</w:t>
      </w:r>
    </w:p>
    <w:p>
      <w:r>
        <w:t xml:space="preserve">|---|---|</w:t>
      </w:r>
    </w:p>
    <w:p>
      <w:r>
        <w:t xml:space="preserve">| Секретарь маслихата |  |</w:t>
      </w:r>
    </w:p>
    <w:p>
      <w:r>
        <w:t xml:space="preserve">| Жамбылского района | Р. Бегалиев |</w:t>
      </w:r>
    </w:p>
    <w:p>
      <w:r>
        <w:t xml:space="preserve">|  | Приложение №1 к решению Жамбылского районного маслихата от 25 июня 2020 года № 64-3 |</w:t>
      </w:r>
    </w:p>
    <w:p>
      <w:r>
        <w:t xml:space="preserve">|---|---|</w:t>
      </w:r>
    </w:p>
    <w:p>
      <w:pPr>
        <w:pStyle w:val="Heading2"/>
      </w:pPr>
      <w:r>
        <w:t xml:space="preserve">Глава Специализированные места, порядок использования специальных мест, нормы их предельного заполнения, а также требования к материально-техническому и организационному обеспечению для организации и проведения мирных собраний в Жамбылском районе</w:t>
      </w:r>
    </w:p>
    <w:p>
      <w:pPr>
        <w:pStyle w:val="Heading2"/>
      </w:pPr>
      <w:r>
        <w:t xml:space="preserve">Пункт 1</w:t>
      </w:r>
    </w:p>
    <w:p>
      <w:r>
        <w:t xml:space="preserve">1. Специально определенные места для организации и проведения мирных собраний в Жамбылском районе:</w:t>
      </w:r>
    </w:p>
    <w:p>
      <w:pPr>
        <w:pStyle w:val="Heading2"/>
      </w:pPr>
      <w:r>
        <w:t xml:space="preserve">Подпункт 1</w:t>
      </w:r>
    </w:p>
    <w:p>
      <w:r>
        <w:t xml:space="preserve">1) Место проведения собрания и митинга: Жамбылский район, Асинский сельский округ, село Аса, улица Абая №102, районный дом культуры.</w:t>
      </w:r>
    </w:p>
    <w:p>
      <w:pPr>
        <w:pStyle w:val="Heading2"/>
      </w:pPr>
      <w:r>
        <w:t xml:space="preserve">Подпункт 2</w:t>
      </w:r>
    </w:p>
    <w:p>
      <w:r>
        <w:t xml:space="preserve">2) Маршрутом проведения шествий и демонстраций в Жамбылском районе: Жамбылский район, Асинский сельский округ, село Аса, улица Абая №22, от коммунального государственного учреждение отдела внутренней политики аимата Жамбылского района "Молодежный ресурсный центр" до центральной площади.</w:t>
      </w:r>
    </w:p>
    <w:p>
      <w:pPr>
        <w:pStyle w:val="Heading2"/>
      </w:pPr>
      <w:r>
        <w:t xml:space="preserve">Пункт 2</w:t>
      </w:r>
    </w:p>
    <w:p>
      <w:r>
        <w:t xml:space="preserve">2. Порядок использования специализированных мест для организации и проведения мирных собраний в Жамбылском районе:</w:t>
      </w:r>
    </w:p>
    <w:p>
      <w:pPr>
        <w:pStyle w:val="Heading2"/>
      </w:pPr>
      <w:r>
        <w:t xml:space="preserve">Подпункт 1</w:t>
      </w:r>
    </w:p>
    <w:p>
      <w:r>
        <w:t xml:space="preserve">1) при организации и проведении мирного собрания акиматом района создается постоянно действующий оперативный штаб для координации деятельности организаций, задействованных в организации и проведении мирного собрания. В состав оперативного штаба входят представители местной полицейской службы, органов гражданской защиты, организатор мирного собрания (далее - организатор). Оперативный штаб возглавляет уполномоченный представитель акима района;</w:t>
      </w:r>
    </w:p>
    <w:p>
      <w:pPr>
        <w:pStyle w:val="Heading2"/>
      </w:pPr>
      <w:r>
        <w:t xml:space="preserve">Подпункт 2</w:t>
      </w:r>
    </w:p>
    <w:p>
      <w:r>
        <w:t xml:space="preserve">2) организатор размещает правила поведения участников, регламентирующие порядок организации и проведения мирного собрания в общедоступном для граждан месте, предусматривает меры, обеспечивающие охрану общественного порядка, безопасность участников, пожарную и санитарно-эпидемиологическую безопасность, оказание первой медицинской помощи при несчастных случаях и порядок эвакуации при возникновении чрезвычайных ситуаций;</w:t>
      </w:r>
    </w:p>
    <w:p>
      <w:pPr>
        <w:pStyle w:val="Heading2"/>
      </w:pPr>
      <w:r>
        <w:t xml:space="preserve">Подпункт 3</w:t>
      </w:r>
    </w:p>
    <w:p>
      <w:r>
        <w:t xml:space="preserve">3) организатор совместно с местной полицейской службой определяет месторасположение служебного автотранспорта, пункта управления оперативного штаба местной полицейской службы и скорой помощи, а также стоянок резерва;</w:t>
      </w:r>
    </w:p>
    <w:p>
      <w:pPr>
        <w:pStyle w:val="Heading2"/>
      </w:pPr>
      <w:r>
        <w:t xml:space="preserve">Подпункт 4</w:t>
      </w:r>
    </w:p>
    <w:p>
      <w:r>
        <w:t xml:space="preserve">4) местные службы полиции за двое суток до начала мирного собрания утверждают план размещения сил и средств, задействованных в обеспечении охраны общественного порядка, дорожной и пожарной безопасности;</w:t>
      </w:r>
    </w:p>
    <w:p>
      <w:pPr>
        <w:pStyle w:val="Heading2"/>
      </w:pPr>
      <w:r>
        <w:t xml:space="preserve">Подпункт 5</w:t>
      </w:r>
    </w:p>
    <w:p>
      <w:r>
        <w:t xml:space="preserve">5) организаторы и участники мирных собраний в Жамбылском районе обязаны строго соблюдать запреты и обязанности, предусмотренные Законом Республики Казахстан от 25 мая 2020 года "О порядке организации и проведения мирных собраний в Республике Казахстан".</w:t>
      </w:r>
    </w:p>
    <w:p>
      <w:pPr>
        <w:pStyle w:val="Heading2"/>
      </w:pPr>
      <w:r>
        <w:t xml:space="preserve">Пункт 3</w:t>
      </w:r>
    </w:p>
    <w:p>
      <w:r>
        <w:t xml:space="preserve">3. Предельные нормы заполнения специальных мест для организации и проведения мирных собраний в Жамбылском районе:</w:t>
      </w:r>
    </w:p>
    <w:p>
      <w:r>
        <w:t xml:space="preserve">а / в = с;</w:t>
      </w:r>
    </w:p>
    <w:p>
      <w:r>
        <w:t xml:space="preserve">а - площадь специальных мест для организации и проведения мирных собраний (в квадратных метрах);</w:t>
      </w:r>
    </w:p>
    <w:p>
      <w:r>
        <w:t xml:space="preserve">в – предельная норма на каждого гражданина, участвующего в мирных собраниях (1,5 квадратных метра);</w:t>
      </w:r>
    </w:p>
    <w:p>
      <w:r>
        <w:t xml:space="preserve">с - предельная норма заполнения специальных мест для организации и проведения мирных собраний (предельное количество лиц, участвующих в мирном собрании).</w:t>
      </w:r>
    </w:p>
    <w:p>
      <w:pPr>
        <w:pStyle w:val="Heading2"/>
      </w:pPr>
      <w:r>
        <w:t xml:space="preserve">Пункт 4</w:t>
      </w:r>
    </w:p>
    <w:p>
      <w:r>
        <w:t xml:space="preserve">4. Требования к материально-техническому и организационному обеспечению специальных мест для организации и проведения мирных собраний в Жамбылском районе определяются в соответствии с планом размещения сил и средств, задействованных в обеспечении охраны общественного порядка, дорожной и пожарной безопасности, утверждаемым местной полицией при проведения каждого мирного собрания.</w:t>
      </w:r>
    </w:p>
    <w:p>
      <w:r>
        <w:t xml:space="preserve">|  | Приложение №2 к решению Жамбылского районного маслихата от 25 июня 2020 года № 64-3 |</w:t>
      </w:r>
    </w:p>
    <w:p>
      <w:r>
        <w:t xml:space="preserve">|---|---|</w:t>
      </w:r>
    </w:p>
    <w:p>
      <w:pPr>
        <w:pStyle w:val="Heading2"/>
      </w:pPr>
      <w:r>
        <w:t xml:space="preserve">Глава Материально-техническое оснащение специализированных мест для проведения мирных собраний и шествий</w:t>
      </w:r>
    </w:p>
    <w:p>
      <w:r>
        <w:t xml:space="preserve">| № п/п | Наименование специализированного места | Материально-техническое оснащение | Предельная наполняемость |</w:t>
      </w:r>
    </w:p>
    <w:p>
      <w:r>
        <w:t xml:space="preserve">|---|---|---|---|</w:t>
      </w:r>
    </w:p>
    <w:p>
      <w:r>
        <w:t xml:space="preserve">| 1.1. | Районный дом культуры | Площадь земельного участка -1750 квадратных метра; - искусственное лампа или фонарик или какое освещение -4; - точка для подключения электроэнергии -1; - камеры видеонаблюдения и видеофиксации -2; - парковочных мест -2 заезд, 2 выезд. | 500 человек |</w:t>
      </w:r>
    </w:p>
    <w:p>
      <w:r>
        <w:t xml:space="preserve">| 2.2. | От здания коммунального государственного учреждения отдела внутренней политики акимата Жамбылского района "Молодежный ресурсный центр" по адресу село Аса, улица Абая 22 до центральной площади. | Протяженность маршрута составляет 1 километр 900 метр; - вдоль маршрута имеется уличное освещение; -камеры видеонаблюдения и видеофиксации. | 500 человек |</w:t>
      </w:r>
    </w:p>
    <w:p>
      <w:r>
        <w:t xml:space="preserve">|  | Приложение №3 к решению Жамбылского районного маслихата от 25 июня 2020 года № 64-3 |</w:t>
      </w:r>
    </w:p>
    <w:p>
      <w:r>
        <w:t xml:space="preserve">|---|---|</w:t>
      </w:r>
    </w:p>
    <w:p>
      <w:pPr>
        <w:pStyle w:val="Heading2"/>
      </w:pPr>
      <w:r>
        <w:t xml:space="preserve">Глава ПРАВИЛА проведения пикетирования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 с изменениями, внесенными решением Жамбылского районного маслихата Жамбылской области от 05.03.2024</w:t>
      </w:r>
    </w:p>
    <w:p>
      <w:pPr>
        <w:pStyle w:val="Heading2"/>
      </w:pPr>
      <w:r>
        <w:t xml:space="preserve">Текст</w:t>
      </w:r>
    </w:p>
    <w:p>
      <w:r>
        <w:t xml:space="preserve">Пикетирование – присутствие одного гражданина Республики Казахстан в определенном месте в определенное время с целью публичного выражения мнения по общественно значимым вопросам и/или действиям/бездействию лиц и/или органов, организаций.</w:t>
      </w:r>
    </w:p>
    <w:p>
      <w:pPr>
        <w:pStyle w:val="Heading2"/>
      </w:pPr>
      <w:r>
        <w:t xml:space="preserve">Текст</w:t>
      </w:r>
    </w:p>
    <w:p>
      <w:r>
        <w:t xml:space="preserve">Проведение пикетирования запрещается:</w:t>
      </w:r>
    </w:p>
    <w:p>
      <w:pPr>
        <w:pStyle w:val="Heading2"/>
      </w:pPr>
      <w:r>
        <w:t xml:space="preserve">Подпункт 1</w:t>
      </w:r>
    </w:p>
    <w:p>
      <w:r>
        <w:t xml:space="preserve">1) в местах массовых захоронений;</w:t>
      </w:r>
    </w:p>
    <w:p>
      <w:pPr>
        <w:pStyle w:val="Heading2"/>
      </w:pPr>
      <w:r>
        <w:t xml:space="preserve">Подпункт 2</w:t>
      </w:r>
    </w:p>
    <w:p>
      <w:r>
        <w:t xml:space="preserve">2) на объектах железнодорожного, водного, воздушного и автомобильного транспорта и прилегающих к ним территориях;</w:t>
      </w:r>
    </w:p>
    <w:p>
      <w:pPr>
        <w:pStyle w:val="Heading2"/>
      </w:pPr>
      <w:r>
        <w:t xml:space="preserve">Подпункт 3</w:t>
      </w:r>
    </w:p>
    <w:p>
      <w:r>
        <w:t xml:space="preserve">3) на территориях, прилегающих к организациям, обеспечивающим обороноспособность, безопасность государства и жизнедеятельность населения;</w:t>
      </w:r>
    </w:p>
    <w:p>
      <w:pPr>
        <w:pStyle w:val="Heading2"/>
      </w:pPr>
      <w:r>
        <w:t xml:space="preserve">Подпункт 4</w:t>
      </w:r>
    </w:p>
    <w:p>
      <w:r>
        <w:t xml:space="preserve">4) на территориях, прилегающих к опасным производственным объектам и иным объектам, эксплуатация которых требует соблюдения специальных правил техники безопасности;</w:t>
      </w:r>
    </w:p>
    <w:p>
      <w:pPr>
        <w:pStyle w:val="Heading2"/>
      </w:pPr>
      <w:r>
        <w:t xml:space="preserve">Подпункт 5</w:t>
      </w:r>
    </w:p>
    <w:p>
      <w:r>
        <w:t xml:space="preserve">5) на магистральных железнодорожных сетях, магистральных трубопроводах, национальной электрической сети, магистральных линиях связи и прилегающих к ним территориях.</w:t>
      </w:r>
    </w:p>
    <w:p>
      <w:r>
        <w:t xml:space="preserve">Допускается: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проведение только одним гражданином ив статичной форме (без передвижения);</w:t>
      </w:r>
    </w:p>
    <w:p>
      <w:pPr>
        <w:pStyle w:val="Heading2"/>
      </w:pPr>
      <w:r>
        <w:t xml:space="preserve">Подпункт 2</w:t>
      </w:r>
    </w:p>
    <w:p>
      <w:r>
        <w:t xml:space="preserve">2) использование плакатов, транспарантов и иные средств наглядной агитации;</w:t>
      </w:r>
    </w:p>
    <w:p>
      <w:pPr>
        <w:pStyle w:val="Heading2"/>
      </w:pPr>
      <w:r>
        <w:t xml:space="preserve">Подпункт 3</w:t>
      </w:r>
    </w:p>
    <w:p>
      <w:r>
        <w:t xml:space="preserve">3) пикетирование не более двух часов в день в одном и том же месте у одного и того же объекта (за исключением специализированных мест для организации и проведения мирных собраний).</w:t>
      </w:r>
    </w:p>
    <w:p>
      <w:r>
        <w:t xml:space="preserve">Не допускается: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проведение двух и более пикетов в одном и том же месте в одно и то же время у одного и того же объекта, за исключением специализированных мест для организации и проведения мирных собраний;</w:t>
      </w:r>
    </w:p>
    <w:p>
      <w:pPr>
        <w:pStyle w:val="Heading2"/>
      </w:pPr>
      <w:r>
        <w:t xml:space="preserve">Подпункт 2</w:t>
      </w:r>
    </w:p>
    <w:p>
      <w:r>
        <w:t xml:space="preserve">2) использование звукоусиливающих средств;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проведение пикетирования на расстоянии 800 метров прилегающих территорий объектов, у которых запрещено проведение пикетирования.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