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национальной экономики Республики Казахстан от 29 января 2020 года № 5 "Об утверждении типовых форм Договора о субсидировании и гарантировании, Договора субсидирования, Договора субсидирования по исламскому финансированию, Договора субсидирования ставки купонного вознаграждения по облигациям, Договора гарантии, Договора о предоставлении гранта на реализацию новых бизнес-идей в рамках Государственной программы поддержки и развития бизнеса "Дорожная карта бизнеса-2025"</w:t>
      </w:r>
    </w:p>
    <w:p>
      <w:r>
        <w:t xml:space="preserve">Приказ, Изменения, Декларация. Министерство национальной экономики Республики Казахстан (Образован Указом Президента РК от 06.08.2014 г. № 875). от 13.07.2020. № 144839. редакция от 13.07.2020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"Об утверждении типовых форм Договора о субсидировании и гарантировании, Договора субсидирования, Договора субсидирования по исламскому финансированию, Договора субсидирования ставки купонного вознаграждения по облигациям, Договора гарантии, Договора о предоставлении гранта на реализацию новых бизнес-идей в рамках Государственной программы поддержки и развития бизнеса "Дорожная карта бизнеса-2025" от 29 января 2020 года № 5 (зарегистрирован в Реестре государственной регистрации нормативных правовых актов за № 19959, опубликован 4 февраля 2020 года в Эталонном контрольном банке нормативных правовых актов Республики Казахстан) следующие изменения и дополнение:</w:t>
      </w:r>
    </w:p>
    <w:p>
      <w:r>
        <w:t xml:space="preserve">в типовой форме договора субсидирования в рамках Государственной программы поддержки и развития бизнеса "Дорожная карта бизнеса-2025", утвержденной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По условиям настоящего Договора финансовое агентство осуществляет субсидирование части ставки вознаграждения Получателя по кредиту, полученному в ______________ (наименование финансовой организации) на следующих условиях:</w:t>
      </w:r>
    </w:p>
    <w:p>
      <w:r>
        <w:t xml:space="preserve">| Договор банковского займа/Договор финансового лизинга | № от " " года |</w:t>
      </w:r>
    </w:p>
    <w:p>
      <w:r>
        <w:t xml:space="preserve">|---|---|</w:t>
      </w:r>
    </w:p>
    <w:p>
      <w:r>
        <w:t xml:space="preserve">| Целевое назначение |  |</w:t>
      </w:r>
    </w:p>
    <w:p>
      <w:r>
        <w:t xml:space="preserve">| Сумма кредита/лизинга на дату начала срока субсидирования |  |</w:t>
      </w:r>
    </w:p>
    <w:p>
      <w:r>
        <w:t xml:space="preserve">| Валюта кредита/лизинга |  |</w:t>
      </w:r>
    </w:p>
    <w:p>
      <w:r>
        <w:t xml:space="preserve">| Ставка вознаграждения |  |</w:t>
      </w:r>
    </w:p>
    <w:p>
      <w:r>
        <w:t xml:space="preserve">| Срок кредита/лизинга |  |</w:t>
      </w:r>
    </w:p>
    <w:p>
      <w:r>
        <w:t xml:space="preserve">|  | 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подпункт 9) пункта 13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"9) прекратить субсидирование в случае принятия решения о приостановлении субсидирования на основании выявления следующих фактов:</w:t>
      </w:r>
    </w:p>
    <w:p>
      <w:pPr>
        <w:pStyle w:val="Heading2"/>
      </w:pPr>
      <w:r>
        <w:t xml:space="preserve">Текст</w:t>
      </w:r>
    </w:p>
    <w:p>
      <w:r>
        <w:t xml:space="preserve">нецелевого использования кредита, по которому осуществляется субсидирование, при этом субсидирование приостанавливается пропорционально сумме нецелевого использования кредитных средств/лизинговых сделок;</w:t>
      </w:r>
    </w:p>
    <w:p>
      <w:pPr>
        <w:pStyle w:val="Heading2"/>
      </w:pPr>
      <w:r>
        <w:t xml:space="preserve">Текст</w:t>
      </w:r>
    </w:p>
    <w:p>
      <w:r>
        <w:t xml:space="preserve">неполучения предпринимателем предмета лизинга по договору финансового лизинга, по которому осуществляется субсидирование;</w:t>
      </w:r>
    </w:p>
    <w:p>
      <w:pPr>
        <w:pStyle w:val="Heading2"/>
      </w:pPr>
      <w:r>
        <w:t xml:space="preserve">Текст</w:t>
      </w:r>
    </w:p>
    <w:p>
      <w:r>
        <w:t xml:space="preserve">несоответствие проекта и/или предпринимателя условиям Программы и/или решению уполномоченного органа финансового агентства;</w:t>
      </w:r>
    </w:p>
    <w:p>
      <w:pPr>
        <w:pStyle w:val="Heading2"/>
      </w:pPr>
      <w:r>
        <w:t xml:space="preserve">Текст</w:t>
      </w:r>
    </w:p>
    <w:p>
      <w:r>
        <w:t xml:space="preserve">неисполнения предпринимателем в течение 3 (трех) месяцев подряд обязательств по оплате платежей перед банком согласно графику платежей к договору банковского займа/договору субсидирования;</w:t>
      </w:r>
    </w:p>
    <w:p>
      <w:pPr>
        <w:pStyle w:val="Heading2"/>
      </w:pPr>
      <w:r>
        <w:t xml:space="preserve">Текст</w:t>
      </w:r>
    </w:p>
    <w:p>
      <w:r>
        <w:t xml:space="preserve">неисполнения предпринимателем 2 (двух) и более раза подряд обязательств по внесению лизинговых платежей перед лизинговой компанией/банком согласно графику погашения платежей к договору финансового лизинга;</w:t>
      </w:r>
    </w:p>
    <w:p>
      <w:pPr>
        <w:pStyle w:val="Heading2"/>
      </w:pPr>
      <w:r>
        <w:t xml:space="preserve">Текст</w:t>
      </w:r>
    </w:p>
    <w:p>
      <w:r>
        <w:t xml:space="preserve">ареста денег на счетах получателя (за исключением наложения ареста денег на счетах в качестве мер по обеспечению иска, при условии достаточности денег на счете, в полном объеме обеспечивающих исковые требования) и/или приостановления расходных операций по счету предпринимателя;</w:t>
      </w:r>
    </w:p>
    <w:p>
      <w:pPr>
        <w:pStyle w:val="Heading2"/>
      </w:pPr>
      <w:r>
        <w:t xml:space="preserve">Текст</w:t>
      </w:r>
    </w:p>
    <w:p>
      <w:r>
        <w:t xml:space="preserve">истребования предмета лизинга у должника в случаях, предусмотренных законодательством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неисполнения обязательств предпринимателями по сохранению/увеличению среднегодовой численности рабочих мест на основе данных налоговой декларации, в том числе данных по обязательным пенсионным взносам и (или) социальным отчислениям или по увеличению объемов фонда оплаты труда или по достижению роста дохода (доход от реализации: стоимость реализованных товаров, работ, услуг от основной деятельности) или по росту объема уплачиваемых налогов (корпоративный подоходный налог/индивидуальный подоходный налог) в бюджет на 10 % после 2 (двух) финансовых лет со дня принятия решения уполномоченного органа финансового агентства (по проектам предпринимателей в рамках первого и второго направлений Программы);</w:t>
      </w:r>
    </w:p>
    <w:p>
      <w:pPr>
        <w:pStyle w:val="Heading2"/>
      </w:pPr>
      <w:r>
        <w:t xml:space="preserve">Текст</w:t>
      </w:r>
    </w:p>
    <w:p>
      <w:r>
        <w:t xml:space="preserve">неисполнения обязательств предпринимателями в рамках Механизма по:</w:t>
      </w:r>
    </w:p>
    <w:p>
      <w:pPr>
        <w:pStyle w:val="Heading2"/>
      </w:pPr>
      <w:r>
        <w:t xml:space="preserve">Текст</w:t>
      </w:r>
    </w:p>
    <w:p>
      <w:r>
        <w:t xml:space="preserve">сохранению/увеличению среднегодовой численности рабочих мест на основе данных налоговой декларации, в том числе данных по обязательным пенсионным взносам и (или) социальным отчислениям или по достижению роста дохода (доход от реализации: стоимость реализованных товаров, работ, услуг от основной деятельности) на 10 % после 3 (трех) финансовых лет с даты решения рабочего органа/финансового агентства о субсидировании по кредитным средствам, выдаваемым 100 % на инвестиционные цели;</w:t>
      </w:r>
    </w:p>
    <w:p>
      <w:pPr>
        <w:pStyle w:val="Heading2"/>
      </w:pPr>
      <w:r>
        <w:t xml:space="preserve">Текст</w:t>
      </w:r>
    </w:p>
    <w:p>
      <w:r>
        <w:t xml:space="preserve">сохранению/увеличению среднегодовой численности рабочих мест на основе данных налоговой декларации, в том числе данных по обязательным пенсионным взносам и (или) социальным отчислениям или налоговых выплат или объема производства (в денежном выражении) или по достижению роста дохода (доход от реализации: стоимость реализованных товаров, работ, услуг от основной деятельности) на 10 % после 2 (двух) финансовых лет с даты решения рабочего органа/финансового агентства о субсидировании по кредитным средствам, выдаваемым на инвестиционные цели и пополнение оборотных средств в размере не более 50 % в рамках одного проекта заемщика. Предприятия, не освобожденные от уплаты налогов, обеспечивают увеличение налоговых выплат согласно требованиям Механизма;</w:t>
      </w:r>
    </w:p>
    <w:p>
      <w:pPr>
        <w:pStyle w:val="Heading2"/>
      </w:pPr>
      <w:r>
        <w:t xml:space="preserve">Текст</w:t>
      </w:r>
    </w:p>
    <w:p>
      <w:r>
        <w:t xml:space="preserve">сохранению/увеличению среднегодовой численности рабочих мест на основе данных налоговой декларации, в том числе данных по обязательным пенсионным взносам и (или) социальным отчислениям или налоговых выплат или увеличения объема производства (в денежном выражении) или по достижению роста дохода (доход от реализации: стоимость реализованных товаров, работ, услуг от основной деятельности) на 10 % по итогам 1 (одного) года с даты решения рабочего органа/финансового агентства о субсидировании по кредитным средствам, выдаваемым на цели 100 % пополнения оборотных средств. Предприятия, не освобожденные от уплаты налогов, обеспечивают увеличение налоговых выплат согласно требованиям Механизма.</w:t>
      </w:r>
    </w:p>
    <w:p>
      <w:pPr>
        <w:pStyle w:val="Heading2"/>
      </w:pPr>
      <w:r>
        <w:t xml:space="preserve">Текст</w:t>
      </w:r>
    </w:p>
    <w:p>
      <w:r>
        <w:t xml:space="preserve">По проектам предпринимателей, одобренным по условиям Государственной программы поддержки и развития бизнеса "Дорожная карта бизнеса-2020", субсидирование приостанавливается при выявлении следующих фактов:</w:t>
      </w:r>
    </w:p>
    <w:p>
      <w:pPr>
        <w:pStyle w:val="Heading2"/>
      </w:pPr>
      <w:r>
        <w:t xml:space="preserve">Текст</w:t>
      </w:r>
    </w:p>
    <w:p>
      <w:r>
        <w:t xml:space="preserve">нецелевого использования кредита, по которому осуществляется субсидирование;</w:t>
      </w:r>
    </w:p>
    <w:p>
      <w:pPr>
        <w:pStyle w:val="Heading2"/>
      </w:pPr>
      <w:r>
        <w:t xml:space="preserve">Текст</w:t>
      </w:r>
    </w:p>
    <w:p>
      <w:r>
        <w:t xml:space="preserve">неполучения предпринимателем предмета лизинга по договору финансового лизинга, по которому осуществляется субсидирование;</w:t>
      </w:r>
    </w:p>
    <w:p>
      <w:pPr>
        <w:pStyle w:val="Heading2"/>
      </w:pPr>
      <w:r>
        <w:t xml:space="preserve">Текст</w:t>
      </w:r>
    </w:p>
    <w:p>
      <w:r>
        <w:t xml:space="preserve">несоответствия проекта и/или предпринимателя условиям Программы и/или решению уполномоченного органа;</w:t>
      </w:r>
    </w:p>
    <w:p>
      <w:pPr>
        <w:pStyle w:val="Heading2"/>
      </w:pPr>
      <w:r>
        <w:t xml:space="preserve">Текст</w:t>
      </w:r>
    </w:p>
    <w:p>
      <w:r>
        <w:t xml:space="preserve">неисполнения предпринимателем в течение 3 (трех) месяцев подряд обязательств по оплате платежей перед банком согласно графику платежей к договору банковского займа/договору субсидирования;</w:t>
      </w:r>
    </w:p>
    <w:p>
      <w:pPr>
        <w:pStyle w:val="Heading2"/>
      </w:pPr>
      <w:r>
        <w:t xml:space="preserve">Текст</w:t>
      </w:r>
    </w:p>
    <w:p>
      <w:r>
        <w:t xml:space="preserve">неисполнения предпринимателем 2 (двух) и более раза подряд обязательств по внесению лизинговых платежей перед лизинговой компанией/банком согласно графику погашения платежей к договору финансового лизинга;</w:t>
      </w:r>
    </w:p>
    <w:p>
      <w:pPr>
        <w:pStyle w:val="Heading2"/>
      </w:pPr>
      <w:r>
        <w:t xml:space="preserve">Текст</w:t>
      </w:r>
    </w:p>
    <w:p>
      <w:r>
        <w:t xml:space="preserve">ареста денег на счетах предпринимателя и/или приостановления расходных операций по счету предпринимателя;</w:t>
      </w:r>
    </w:p>
    <w:p>
      <w:pPr>
        <w:pStyle w:val="Heading2"/>
      </w:pPr>
      <w:r>
        <w:t xml:space="preserve">Текст</w:t>
      </w:r>
    </w:p>
    <w:p>
      <w:r>
        <w:t xml:space="preserve">истребования предмета лизинга у должника в случаях, предусмотренных законодательством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неисполнения обязательств предпринимателями по достижении роста дохода и увеличения среднегодовой численности рабочих мест, на основе данных по обязательным пенсионным взносам и (или) социальным отчислениям на 10 % после 2 (двух) финансовых лет с даты решения уполномоченного органа финансового агентства (по проектам предпринимателей в рамках первого направления Программы, а также по проектам предпринимателей – субъектов малого предпринимательства в рамках второго направления Программы;</w:t>
      </w:r>
    </w:p>
    <w:p>
      <w:pPr>
        <w:pStyle w:val="Heading2"/>
      </w:pPr>
      <w:r>
        <w:t xml:space="preserve">Текст</w:t>
      </w:r>
    </w:p>
    <w:p>
      <w:r>
        <w:t xml:space="preserve">неисполнения обязательств предпринимателями в рамках Механизма: сохранения и (или) увеличения среднегодовой численности рабочих мест, на основе данных налоговой отчетности и (или) достижения роста дохода на 10% после 2 (двух) финансовых лет с даты решения уполномоченного органа финансового агентства.";</w:t>
      </w:r>
    </w:p>
    <w:p>
      <w:pPr>
        <w:pStyle w:val="Heading2"/>
      </w:pPr>
      <w:r>
        <w:t xml:space="preserve">Текст</w:t>
      </w:r>
    </w:p>
    <w:p>
      <w:r>
        <w:t xml:space="preserve">в типовой форме договора субсидированияпо исламскому финансированию в рамках Государственной программы поддержки и развития бизнеса "Дорожная карта бизнеса-2025", утвержденной указанным приказом:</w:t>
      </w:r>
    </w:p>
    <w:p>
      <w:pPr>
        <w:pStyle w:val="Heading2"/>
      </w:pPr>
      <w:r>
        <w:t xml:space="preserve">Текст</w:t>
      </w:r>
    </w:p>
    <w:p>
      <w:r>
        <w:t xml:space="preserve">дополнить пунктом 21-1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"21-1. По проектам предпринимателей, одобренным по условиям Государственной программы поддержки и развития бизнеса "Дорожная карта бизнеса-2020", субсидирование приостанавливается при выявлении следующих фактов:</w:t>
      </w:r>
    </w:p>
    <w:p>
      <w:pPr>
        <w:pStyle w:val="Heading2"/>
      </w:pPr>
      <w:r>
        <w:t xml:space="preserve">Подпункт 1</w:t>
      </w:r>
    </w:p>
    <w:p>
      <w:r>
        <w:t xml:space="preserve">1) нецелевое использование нового финансирования, по которому осуществляется субсидирование;</w:t>
      </w:r>
    </w:p>
    <w:p>
      <w:pPr>
        <w:pStyle w:val="Heading2"/>
      </w:pPr>
      <w:r>
        <w:t xml:space="preserve">Подпункт 2</w:t>
      </w:r>
    </w:p>
    <w:p>
      <w:r>
        <w:t xml:space="preserve">2) неполучение предпринимателем предмета лизинга (аренды) по договору исламского лизинга, по которому осуществляется субсидирование;</w:t>
      </w:r>
    </w:p>
    <w:p>
      <w:pPr>
        <w:pStyle w:val="Heading2"/>
      </w:pPr>
      <w:r>
        <w:t xml:space="preserve">Подпункт 3</w:t>
      </w:r>
    </w:p>
    <w:p>
      <w:r>
        <w:t xml:space="preserve">3) несоответствие проекта и/или предпринимателя условиям Программы и/или решению Финансового агентства;</w:t>
      </w:r>
    </w:p>
    <w:p>
      <w:pPr>
        <w:pStyle w:val="Heading2"/>
      </w:pPr>
      <w:r>
        <w:t xml:space="preserve">Подпункт 4</w:t>
      </w:r>
    </w:p>
    <w:p>
      <w:r>
        <w:t xml:space="preserve">4) неисполнение предпринимателем в течение 3 (трех) месяцев подряд обязательств по оплате платежей перед исламским банком согласно графику погашения платежей к договору финансирования;</w:t>
      </w:r>
    </w:p>
    <w:p>
      <w:pPr>
        <w:pStyle w:val="Heading2"/>
      </w:pPr>
      <w:r>
        <w:t xml:space="preserve">Подпункт 5</w:t>
      </w:r>
    </w:p>
    <w:p>
      <w:r>
        <w:t xml:space="preserve">5) неисполнение предпринимателем 2 (два) и более раза подряд обязательств по внесению лизинговых (арендных) платежей перед исламским банком/исламской лизинговой компанией согласно графику погашения платежей к договору финансирования;</w:t>
      </w:r>
    </w:p>
    <w:p>
      <w:pPr>
        <w:pStyle w:val="Heading2"/>
      </w:pPr>
      <w:r>
        <w:t xml:space="preserve">Подпункт 6</w:t>
      </w:r>
    </w:p>
    <w:p>
      <w:r>
        <w:t xml:space="preserve">6) арест счетов предпринимателя;</w:t>
      </w:r>
    </w:p>
    <w:p>
      <w:pPr>
        <w:pStyle w:val="Heading2"/>
      </w:pPr>
      <w:r>
        <w:t xml:space="preserve">Подпункт 7</w:t>
      </w:r>
    </w:p>
    <w:p>
      <w:r>
        <w:t xml:space="preserve">7) истребование предмета лизинга (аренды) у должника в случаях, предусмотренных законодательством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предпринимательства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национальной экономики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| Р. Даленов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