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по инвестициям и развитию Республики Казахстан от 24 февраля 2015 года № 156 "Об утверждении образца мореходной книжки, Правил ее оформления и выдачи" и признании утратившими силу структурных элементов некоторых приказов Министерства по инвестициям и развитию Республики Казахстан и Министерства индустрии и инфраструктурного развития Республики Казахстан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15.05.2020. № 143091. редакция от 15.05.2020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по инвестициям и развитию Республики Казахстан от 24 февраля 2015 года № 156 "Об утверждении образца мореходной книжки, Правил ее оформления и выдачи" (зарегистрирован в Реестре государственной регистрации нормативных правовых актов за № 10661, опубликован 18 июня 2015 года в информационно-правовой системе "Әділет")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55-5) пункта 3 статьи 4 Закона Республики Казахстан от 17 января 2002 года "О торговом мореплавании" и подпунктом 1) статьи 10 Закона Республики Казахстан от 15 апреля 2013 года "О государственных услугах" ПРИКАЗЫВАЮ :";</w:t>
      </w:r>
    </w:p>
    <w:p>
      <w:r>
        <w:t xml:space="preserve">Правила оформления и выдачи мореходной книжки, утвержденные указанным приказом, изложить в новой редакции согласно приложению 1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структурные элементы некоторых приказов Министерства по инвестициям и развитию Республики Казахстан и Министерства индустрии и инфраструктурного развития Республики Казахстансогласно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транспорта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Б. Атамкулов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Министра индустрии и инфраструктурного развития Республики Казахстан от 15 мая 2020 года № 294 |</w:t>
      </w:r>
    </w:p>
    <w:p>
      <w:r>
        <w:t xml:space="preserve">|---|---|</w:t>
      </w:r>
    </w:p>
    <w:p>
      <w:r>
        <w:t xml:space="preserve">|  | Приложение 2 к приказу исполняющего обязанности Министра по инвестициям и развитию Республики Казахстан от 24 февраля 2015 года № 156 |</w:t>
      </w:r>
    </w:p>
    <w:p>
      <w:pPr>
        <w:pStyle w:val="Heading2"/>
      </w:pPr>
      <w:r>
        <w:t xml:space="preserve">Глава Правила оформления и выдачи мореходной книжки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оформления и выдачи мореходной книжки и оказания государственной услуги "Выдача мореходной книжки" (далее - Правила) разработаны в соответствии с подпунктом 55-5) пункта 3 статьи 4 Закона Республики Казахстан от 17 января 2002 года "О торговом мореплавании" и подпунктом 1) статьи 10 Закона Республики Казахстан от  15 апреля 2013 года "О государственных услугах" и определяют порядок оформления и выдачи мореходной книжки и оказания государственной услуги "Выдача мореходной книжки".</w:t>
      </w:r>
    </w:p>
    <w:p>
      <w:pPr>
        <w:pStyle w:val="Heading2"/>
      </w:pPr>
      <w:r>
        <w:t xml:space="preserve">Пункт 2</w:t>
      </w:r>
    </w:p>
    <w:p>
      <w:r>
        <w:t xml:space="preserve">2. Мореходная книжка является документом, содержащим сведения о работе моряка в качестве члена экипажа морского судна (далее - судно) и не заменяет трудовую книжку.</w:t>
      </w:r>
    </w:p>
    <w:p>
      <w:pPr>
        <w:pStyle w:val="Heading2"/>
      </w:pPr>
      <w:r>
        <w:t xml:space="preserve">Пункт 3</w:t>
      </w:r>
    </w:p>
    <w:p>
      <w:r>
        <w:t xml:space="preserve">3. Мореходная книжка всегда находится на руках у каждого члена экипажа морского судна, плавающего под Государственным флагом Республики Казахстан, при выходе на судне в море в качестве подтверждения занятия должности на борту этого судна, за исключением случаев, когда с письменного согласия моряка она хранится у капитана судна.</w:t>
      </w:r>
    </w:p>
    <w:p>
      <w:pPr>
        <w:pStyle w:val="Heading2"/>
      </w:pPr>
      <w:r>
        <w:t xml:space="preserve">Пункт 4</w:t>
      </w:r>
    </w:p>
    <w:p>
      <w:r>
        <w:t xml:space="preserve">4. Мореходная книжка оформляется и выдается:</w:t>
      </w:r>
    </w:p>
    <w:p>
      <w:pPr>
        <w:pStyle w:val="Heading2"/>
      </w:pPr>
      <w:r>
        <w:t xml:space="preserve">Подпункт 1</w:t>
      </w:r>
    </w:p>
    <w:p>
      <w:r>
        <w:t xml:space="preserve">1) гражданам Республики Казахстан, иностранным гражданам и лицам без гражданства, занятым на любой должности на борту морского судна, плавающего под Государственным флагом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курсантам (учащимся) учебных заведений, направляемым на морские суда для прохождения плавательной практики.</w:t>
      </w:r>
    </w:p>
    <w:p>
      <w:pPr>
        <w:pStyle w:val="Heading2"/>
      </w:pPr>
      <w:r>
        <w:t xml:space="preserve">Пункт 5</w:t>
      </w:r>
    </w:p>
    <w:p>
      <w:r>
        <w:t xml:space="preserve">5. В случае утраты мореходной книжки оформление и выдача новой мореходной книжки осуществляется на основании заявления с приложением справки о его работе на судне или копии последнего трудового договора о работе на судне в 3 (рабочих) дня.</w:t>
      </w:r>
    </w:p>
    <w:p>
      <w:r>
        <w:t xml:space="preserve">Справка о работе на судне содержит следующие сведения о работе на судне: дату начала работы на судне и порт, в котором начата работа на судне, дату завершения работы на судне и порт, в котором моряк завершил работу на судне.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Государственная услуга "Выдача мореходной книжки" (далее – государственная услуга) оказывается Морской администрацией порта (далее – услугодатель).</w:t>
      </w:r>
    </w:p>
    <w:p>
      <w:pPr>
        <w:pStyle w:val="Heading2"/>
      </w:pPr>
      <w:r>
        <w:t xml:space="preserve">Глава 2 Порядок оформления мореходной книжки</w:t>
      </w:r>
    </w:p>
    <w:p>
      <w:pPr>
        <w:pStyle w:val="Heading2"/>
      </w:pPr>
      <w:r>
        <w:t xml:space="preserve">Пункт 7</w:t>
      </w:r>
    </w:p>
    <w:p>
      <w:r>
        <w:t xml:space="preserve">7. Бланки мореходных книжек заполняются с использованием технических средств или разборчивым почерком чернилами черного цвета следующим образом:</w:t>
      </w:r>
    </w:p>
    <w:p>
      <w:r>
        <w:t xml:space="preserve">фамилия, имя, отчество владельца мореходной книжки указываются прописными буквами на казахском или русском языках. Через знак "/" прописными буквами указываются фамилия и имя с использованием знаков латинского алфавита;</w:t>
      </w:r>
    </w:p>
    <w:p>
      <w:r>
        <w:t xml:space="preserve">графа "Жынысы/Пол/Sex": "F" - для женщин, "М" - для мужчин;</w:t>
      </w:r>
    </w:p>
    <w:p>
      <w:r>
        <w:t xml:space="preserve">графа "Азаматтығы/Гражданство/Nationality":</w:t>
      </w:r>
    </w:p>
    <w:p>
      <w:r>
        <w:t xml:space="preserve">для граждан Республики Казахстан – "Қазақстан/Kazakhstan";</w:t>
      </w:r>
    </w:p>
    <w:p>
      <w:r>
        <w:t xml:space="preserve">для иностранных граждан гражданство указывается на русском и английском языках через знак "/";</w:t>
      </w:r>
    </w:p>
    <w:p>
      <w:r>
        <w:t xml:space="preserve">для лиц без гражданства указывается "без гражданства/stateless";</w:t>
      </w:r>
    </w:p>
    <w:p>
      <w:r>
        <w:t xml:space="preserve">даты в графах "Дата рождения", "Дата выдачи" указываются арабскими цифрами в последовательности: день/месяц/год (день и месяц пишутся двузначными, а год четырехзначными, например, 23/02/2011).</w:t>
      </w:r>
    </w:p>
    <w:p>
      <w:r>
        <w:t xml:space="preserve">В графе "Место рождения" указываются наименование республики, области, города. Запись производится на основании данных о месте рождения владельца мореходной книжки, указанных в основном документе, удостоверяющем личность.</w:t>
      </w:r>
    </w:p>
    <w:p>
      <w:r>
        <w:t xml:space="preserve">При указании государства, в котором родился владелец мореходной книжки, через знак "/" указывается аббревиатура государства на английском языке или его название.</w:t>
      </w:r>
    </w:p>
    <w:p>
      <w:r>
        <w:t xml:space="preserve">В графе "Уәкілетті тұлғаның лауазымы, тегі, қолы/Должность, фамилия, подпись уполномоченного лица/ official’s position, name, signature" указываются должность, фамилия и инициалы лица, разрешившего выдачу мореходной книжки. На английском языке указывается должность через знак "/" (например, Капитан порта "Актау/Harbour master "Aktau").</w:t>
      </w:r>
    </w:p>
    <w:p>
      <w:r>
        <w:t xml:space="preserve">В графе "Қолы /подпись / signature" проставляется подпись должностного лица, разрешившего выдачу мореходной книжки.</w:t>
      </w:r>
    </w:p>
    <w:p>
      <w:r>
        <w:t xml:space="preserve">Фотография владельца мореходной книжки наклеивается таким образом, чтобы ограничительная рамка оставалась открытой. Фотография скрепляется печатью организации, выдающей мореходную книжку.</w:t>
      </w:r>
    </w:p>
    <w:p>
      <w:pPr>
        <w:pStyle w:val="Heading2"/>
      </w:pPr>
      <w:r>
        <w:t xml:space="preserve">Пункт 8</w:t>
      </w:r>
    </w:p>
    <w:p>
      <w:r>
        <w:t xml:space="preserve">8. В мореходную книжку вносятся следующие сведения о работе моряка на судне:</w:t>
      </w:r>
    </w:p>
    <w:p>
      <w:pPr>
        <w:pStyle w:val="Heading2"/>
      </w:pPr>
      <w:r>
        <w:t xml:space="preserve">Подпункт 1</w:t>
      </w:r>
    </w:p>
    <w:p>
      <w:r>
        <w:t xml:space="preserve">1) в разделе "Служебное положение на судне":</w:t>
      </w:r>
    </w:p>
    <w:p>
      <w:r>
        <w:t xml:space="preserve">должность моряка на судне;</w:t>
      </w:r>
    </w:p>
    <w:p>
      <w:r>
        <w:t xml:space="preserve">наименование судна;</w:t>
      </w:r>
    </w:p>
    <w:p>
      <w:r>
        <w:t xml:space="preserve">национальность судна;</w:t>
      </w:r>
    </w:p>
    <w:p>
      <w:r>
        <w:t xml:space="preserve">номер судна, присвоенный Международной морской организацией;</w:t>
      </w:r>
    </w:p>
    <w:p>
      <w:r>
        <w:t xml:space="preserve">тип судна;</w:t>
      </w:r>
    </w:p>
    <w:p>
      <w:r>
        <w:t xml:space="preserve">наименование судовладельца (работодателя) и его идентификационный номер, присвоенный Международной морской организацией (при его наличии);</w:t>
      </w:r>
    </w:p>
    <w:p>
      <w:r>
        <w:t xml:space="preserve">порт (место) регистрации судна;</w:t>
      </w:r>
    </w:p>
    <w:p>
      <w:r>
        <w:t xml:space="preserve">валовая вместимость;</w:t>
      </w:r>
    </w:p>
    <w:p>
      <w:r>
        <w:t xml:space="preserve">тип, марка и мощность главной энергетической установки;</w:t>
      </w:r>
    </w:p>
    <w:p>
      <w:r>
        <w:t xml:space="preserve">дата начала работы на судне;</w:t>
      </w:r>
    </w:p>
    <w:p>
      <w:r>
        <w:t xml:space="preserve">порт (регион), в котором начата работа на судне;</w:t>
      </w:r>
    </w:p>
    <w:p>
      <w:pPr>
        <w:pStyle w:val="Heading2"/>
      </w:pPr>
      <w:r>
        <w:t xml:space="preserve">Подпункт 2</w:t>
      </w:r>
    </w:p>
    <w:p>
      <w:r>
        <w:t xml:space="preserve">2) в разделе "Завершение работы":</w:t>
      </w:r>
    </w:p>
    <w:p>
      <w:r>
        <w:t xml:space="preserve">дата завершения работы на судне;</w:t>
      </w:r>
    </w:p>
    <w:p>
      <w:r>
        <w:t xml:space="preserve">порт (регион), в котором моряк завершил работу на судне.</w:t>
      </w:r>
    </w:p>
    <w:p>
      <w:pPr>
        <w:pStyle w:val="Heading2"/>
      </w:pPr>
      <w:r>
        <w:t xml:space="preserve">Пункт 9</w:t>
      </w:r>
    </w:p>
    <w:p>
      <w:r>
        <w:t xml:space="preserve">9. Сведения о работе моряка, указанные в подпункте 1) пункта 7 настоящих Правил, за исключением даты и порта, в котором начата работа на судне, заверяются судовладельцем, являющимся работодателем соискателя (владельца) мореходной книжки, после заключения с ним трудового договора.</w:t>
      </w:r>
    </w:p>
    <w:p>
      <w:pPr>
        <w:pStyle w:val="Heading2"/>
      </w:pPr>
      <w:r>
        <w:t xml:space="preserve">Пункт 10</w:t>
      </w:r>
    </w:p>
    <w:p>
      <w:r>
        <w:t xml:space="preserve">10. Сведения о дате начала работы на судне владельца мореходной книжки и порте, в котором начата его работа на судне, а также сведения, указанные в подпункте 2) пункта 7 настоящих Правил, подписываются капитаном судна или назначенным им должностным лицом и заверяются судовой печатью.</w:t>
      </w:r>
    </w:p>
    <w:p>
      <w:pPr>
        <w:pStyle w:val="Heading2"/>
      </w:pPr>
      <w:r>
        <w:t xml:space="preserve">Пункт 11</w:t>
      </w:r>
    </w:p>
    <w:p>
      <w:r>
        <w:t xml:space="preserve">11. В мореходной книжке, по завершению страниц, на последней странице, проставляется штамп о прекращении ведения мореходной книжки и выдаче новой мореходной книжки взамен использованной согласно приложению 3 настоящих Правил на государственном языке.</w:t>
      </w:r>
    </w:p>
    <w:p>
      <w:r>
        <w:t xml:space="preserve">Мореходная книжка, по ее завершению, остается у ее владельца.</w:t>
      </w:r>
    </w:p>
    <w:p>
      <w:pPr>
        <w:pStyle w:val="Heading2"/>
      </w:pPr>
      <w:r>
        <w:t xml:space="preserve">Глава 3 Порядок выдачи мореходной книжки  и оказания государственной услуги "Выдача мореходной книжки"</w:t>
      </w:r>
    </w:p>
    <w:p>
      <w:pPr>
        <w:pStyle w:val="Heading2"/>
      </w:pPr>
      <w:r>
        <w:t xml:space="preserve">Пункт 12</w:t>
      </w:r>
    </w:p>
    <w:p>
      <w:r>
        <w:t xml:space="preserve">12. Физическое лицо (далее – услугополучатель) для получения мореходной книжки направляет услугодателю через веб-портал "электронного правительства" www.egov.kz (далее – портал) заявление на выдачу мореходной книжки по форме согласно приложению 1 к настоящим Правилам и цифровую фотографию, на светлом фоне с изображением услугополучателя без головного убора.</w:t>
      </w:r>
    </w:p>
    <w:p>
      <w:pPr>
        <w:pStyle w:val="Heading2"/>
      </w:pPr>
      <w:r>
        <w:t xml:space="preserve">Пункт 13</w:t>
      </w:r>
    </w:p>
    <w:p>
      <w:r>
        <w:t xml:space="preserve">13.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"Выдача мореходной книжки" согласно приложению 2 к настоящим Правилам (далее – стандарт).</w:t>
      </w:r>
    </w:p>
    <w:p>
      <w:r>
        <w:t xml:space="preserve">При подаче всех необходимых для получения государственной услуги документов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pPr>
        <w:pStyle w:val="Heading2"/>
      </w:pPr>
      <w:r>
        <w:t xml:space="preserve">Пункт 14</w:t>
      </w:r>
    </w:p>
    <w:p>
      <w:r>
        <w:t xml:space="preserve">14. Услугодатель осуществляет регистрацию документов в день их поступления. В случае обращения заявителя после окончания рабочего времени, в выходные и праздничные дни согласно трудовому законодательству Республики Казахстан, прием и регистрация заявления на получение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15</w:t>
      </w:r>
    </w:p>
    <w:p>
      <w:r>
        <w:t xml:space="preserve">15. Сведения документов, удостоверяющих личность, подтверждение оплаты государственной пошлины в случае оплаты через платежный шлюз "электронного правительства" (далее – ПШЭП) услугодатель получает из соответствующих государственных информационных систем через шлюз "электронного правительства".</w:t>
      </w:r>
    </w:p>
    <w:p>
      <w:r>
        <w:t xml:space="preserve">В случаях представления услугополучателем неполного пакета документов и (или) документов с истекшим сроком действия услугодатель в течение 1 (одного) рабочего дня отказывает в дальнейшем рассмотрении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>
      <w:pPr>
        <w:pStyle w:val="Heading2"/>
      </w:pPr>
      <w:r>
        <w:t xml:space="preserve">Пункт 16</w:t>
      </w:r>
    </w:p>
    <w:p>
      <w:r>
        <w:t xml:space="preserve">16. Срок рассмотрения документов и выдача результата оказания государственной услуги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в случае выдачи через филиал Государственной корпорации в городе Актау – 3 (три) рабочих дня;</w:t>
      </w:r>
    </w:p>
    <w:p>
      <w:pPr>
        <w:pStyle w:val="Heading2"/>
      </w:pPr>
      <w:r>
        <w:t xml:space="preserve">Подпункт 2</w:t>
      </w:r>
    </w:p>
    <w:p>
      <w:r>
        <w:t xml:space="preserve">2) в случае выдачи через филиал Государственной корпорации в другом населенном пункте – 13 (тринадцать) рабочих дней.</w:t>
      </w:r>
    </w:p>
    <w:p>
      <w:pPr>
        <w:pStyle w:val="Heading2"/>
      </w:pPr>
      <w:r>
        <w:t xml:space="preserve">Пункт 17</w:t>
      </w:r>
    </w:p>
    <w:p>
      <w:r>
        <w:t xml:space="preserve">17. В случае представления услугополучателем полного пакета документов, услугодателем в течение 2 (двух) рабочих дней проверяется достоверность представленных документов и соответствие услугополучателя и (или) представленных документов требованиям, установленным настоящими Правилами и оформляется следующий результат услуги:</w:t>
      </w:r>
    </w:p>
    <w:p>
      <w:r>
        <w:t xml:space="preserve">мореходная книжка, выдача которой осуществляется через Государственную корпорацию.</w:t>
      </w:r>
    </w:p>
    <w:p>
      <w:r>
        <w:t xml:space="preserve">Мореходная книжка направляется услугодателем в Государственную корпорацию посредством почтовой связи не позднее 3 (трех) рабочих дней после ее готовности;</w:t>
      </w:r>
    </w:p>
    <w:p>
      <w:r>
        <w:t xml:space="preserve">мотивированный ответ об отказе в оказании государственной услуги, выдача которого осуществляется через портал.</w:t>
      </w:r>
    </w:p>
    <w:p>
      <w:pPr>
        <w:pStyle w:val="Heading2"/>
      </w:pPr>
      <w:r>
        <w:t xml:space="preserve">Пункт 18</w:t>
      </w:r>
    </w:p>
    <w:p>
      <w:r>
        <w:t xml:space="preserve">18. 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месяца,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>
      <w:pPr>
        <w:pStyle w:val="Heading2"/>
      </w:pPr>
      <w:r>
        <w:t xml:space="preserve">Пункт 19</w:t>
      </w:r>
    </w:p>
    <w:p>
      <w:r>
        <w:t xml:space="preserve">19.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 в соответствии с Закона Республики Казахстан от  15 апреля 2013 года "О государственных услугах".</w:t>
      </w:r>
    </w:p>
    <w:p>
      <w:pPr>
        <w:pStyle w:val="Heading2"/>
      </w:pPr>
      <w:r>
        <w:t xml:space="preserve">Пункт 20</w:t>
      </w:r>
    </w:p>
    <w:p>
      <w:r>
        <w:t xml:space="preserve">20. Жалоба на решение, действия (бездействие) сотрудников услугодателя, Государственной корпорации может быть подана на имя руководителя услугодателя, Государственной корпорации, уполномоченного органа и (или)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>
      <w:r>
        <w:t xml:space="preserve">Жалоба заявителя, поступившая в адрес услугодателя, Государственной корпорации, уполномоченного органа подлежит рассмотрению в течение пяти рабочих дней со дня ее регистрации.</w:t>
      </w:r>
    </w:p>
    <w:p>
      <w:r>
        <w:t xml:space="preserve">Жалоба заявителя,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>
      <w:r>
        <w:t xml:space="preserve">В случае несогласия заявитель может обжаловать результаты рассмотрения жалобы в судебном порядке.</w:t>
      </w:r>
    </w:p>
    <w:p>
      <w:r>
        <w:t xml:space="preserve">|  | Приложение 1 к Правилам оформления и выдачи мореходной книжки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выдачу мореходной книжки</w:t>
      </w:r>
    </w:p>
    <w:p>
      <w:pPr>
        <w:pStyle w:val="Heading2"/>
      </w:pPr>
      <w:r>
        <w:t xml:space="preserve">Пункт 1</w:t>
      </w:r>
    </w:p>
    <w:p>
      <w:r>
        <w:t xml:space="preserve">1. Фамилия, имя, отчество (при наличии) 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Индивидуальный идентификационный номер (ИИН) _____________________</w:t>
      </w:r>
    </w:p>
    <w:p>
      <w:pPr>
        <w:pStyle w:val="Heading2"/>
      </w:pPr>
      <w:r>
        <w:t xml:space="preserve">Пункт 3</w:t>
      </w:r>
    </w:p>
    <w:p>
      <w:r>
        <w:t xml:space="preserve">3. Число, месяц, год рождения ________________</w:t>
      </w:r>
    </w:p>
    <w:p>
      <w:pPr>
        <w:pStyle w:val="Heading2"/>
      </w:pPr>
      <w:r>
        <w:t xml:space="preserve">Пункт 4</w:t>
      </w:r>
    </w:p>
    <w:p>
      <w:r>
        <w:t xml:space="preserve">4. Пол ____________________</w:t>
      </w:r>
    </w:p>
    <w:p>
      <w:pPr>
        <w:pStyle w:val="Heading2"/>
      </w:pPr>
      <w:r>
        <w:t xml:space="preserve">Пункт 5</w:t>
      </w:r>
    </w:p>
    <w:p>
      <w:r>
        <w:t xml:space="preserve">5. Место рождения 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Место жительства (регистрации)_____________________________________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Гражданство ____________________</w:t>
      </w:r>
    </w:p>
    <w:p>
      <w:pPr>
        <w:pStyle w:val="Heading2"/>
      </w:pPr>
      <w:r>
        <w:t xml:space="preserve">Пункт 8</w:t>
      </w:r>
    </w:p>
    <w:p>
      <w:r>
        <w:t xml:space="preserve">8. Телефон(ы) __________________</w:t>
      </w:r>
    </w:p>
    <w:p>
      <w:pPr>
        <w:pStyle w:val="Heading2"/>
      </w:pPr>
      <w:r>
        <w:t xml:space="preserve">Пункт 9</w:t>
      </w:r>
    </w:p>
    <w:p>
      <w:r>
        <w:t xml:space="preserve">9. Документ, удостоверяющий личность__________ номер _____________ выдан (указать, когда и кем) ______________________________________________________</w:t>
      </w:r>
    </w:p>
    <w:p>
      <w:pPr>
        <w:pStyle w:val="Heading2"/>
      </w:pPr>
      <w:r>
        <w:t xml:space="preserve">Пункт 10</w:t>
      </w:r>
    </w:p>
    <w:p>
      <w:r>
        <w:t xml:space="preserve">10. Должность, название судна, судовладелец (организация по найму и трудоустройству) (при наличии) __________________________________________________________________________</w:t>
      </w:r>
    </w:p>
    <w:p>
      <w:pPr>
        <w:pStyle w:val="Heading2"/>
      </w:pPr>
      <w:r>
        <w:t xml:space="preserve">Пункт 11</w:t>
      </w:r>
    </w:p>
    <w:p>
      <w:r>
        <w:t xml:space="preserve">11. Номер профессионального диплома (при наличии) _____________________</w:t>
      </w:r>
    </w:p>
    <w:p>
      <w:pPr>
        <w:pStyle w:val="Heading2"/>
      </w:pPr>
      <w:r>
        <w:t xml:space="preserve">Пункт 12</w:t>
      </w:r>
    </w:p>
    <w:p>
      <w:r>
        <w:t xml:space="preserve">12. Номер подтверждения профессионального диплома (при наличии) ________</w:t>
      </w:r>
    </w:p>
    <w:p>
      <w:pPr>
        <w:pStyle w:val="Heading2"/>
      </w:pPr>
      <w:r>
        <w:t xml:space="preserve">Пункт 13</w:t>
      </w:r>
    </w:p>
    <w:p>
      <w:r>
        <w:t xml:space="preserve">13. Сведения о свидетельствах подготовки специалистов морского транспорта ___________________________________________________________________________</w:t>
      </w:r>
    </w:p>
    <w:p>
      <w:r>
        <w:t xml:space="preserve">Согласен(а) на использования сведений, составляющих охраняемую законом тайну, содержащихся в информационных системах</w:t>
      </w:r>
    </w:p>
    <w:p>
      <w:r>
        <w:t xml:space="preserve">___________ "__" __________ 20 __ года (подпись)</w:t>
      </w:r>
    </w:p>
    <w:p>
      <w:r>
        <w:t xml:space="preserve">|  | Приложение 2 к Правилам оформления и выдачи мореходной книжки |</w:t>
      </w:r>
    </w:p>
    <w:p>
      <w:r>
        <w:t xml:space="preserve">|---|---|</w:t>
      </w:r>
    </w:p>
    <w:p>
      <w:pPr>
        <w:pStyle w:val="Heading2"/>
      </w:pPr>
      <w:r>
        <w:t xml:space="preserve">Глава Стандарт государственной услуги "Выдача мореходной книжки"</w:t>
      </w:r>
    </w:p>
    <w:p>
      <w:r>
        <w:t xml:space="preserve">| 1 | Наименование государственной услуги | Выдача мореходной книжки |</w:t>
      </w:r>
    </w:p>
    <w:p>
      <w:r>
        <w:t xml:space="preserve">|---|---|---|</w:t>
      </w:r>
    </w:p>
    <w:p>
      <w:r>
        <w:t xml:space="preserve">| 2 | Наименование услугодателя | Морская администрация порта |</w:t>
      </w:r>
    </w:p>
    <w:p>
      <w:r>
        <w:t xml:space="preserve">| 3 | Способы предоставления государственной услуги (каналы доступа) | 1) веб-портал "электронного правительства"; 2) Государственная корпорация. |</w:t>
      </w:r>
    </w:p>
    <w:p>
      <w:r>
        <w:t xml:space="preserve">| 4 | Срок оказания государственной услуги | 1) в случае выдачи мореходной книжки через филиал Государственной корпорации в городе Актау – 3 (три) рабочих дня; 2) в случае выдачи мореходной книжки через филиал Государственной корпорации в ином населенном пункте – 13 (тринадцать) рабочих дней. |</w:t>
      </w:r>
    </w:p>
    <w:p>
      <w:r>
        <w:t xml:space="preserve">| 5 | Форма оказания оказания государственной услуги | Электронная/бумажная |</w:t>
      </w:r>
    </w:p>
    <w:p>
      <w:r>
        <w:t xml:space="preserve">| 6 | Результат оказания государственной услуги | Мореходная книжка либо мотивированный ответ об отказе в оказании государственной услуги |</w:t>
      </w:r>
    </w:p>
    <w:p>
      <w:r>
        <w:t xml:space="preserve">| 7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За оказание государственной услуги взимается государственная пошлина, которая в соответствии со статьей 615 Кодекса Республики Казахстан от 25 декабря 2017 года "О налогах и других обязательных платежах в бюджет (Налоговый кодекс)" составляет 3,5 месячных расчетных показателей, установленных на день уплаты государственной пошлины. Оплата осуществляется в безналичной форме через платежный шлюз "электронного правительства". |</w:t>
      </w:r>
    </w:p>
    <w:p>
      <w:r>
        <w:t xml:space="preserve">| 8 | График работы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часов;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 Адреса мест оказания государственной услуги размещены на портале www.egov.kz. |</w:t>
      </w:r>
    </w:p>
    <w:p>
      <w:r>
        <w:t xml:space="preserve">| 9 | Перечень документов необходимых для оказания государственной услуги | заявление; цифровая фотография, на светлом фонес изображением услугополучателя без головного убора. |</w:t>
      </w:r>
    </w:p>
    <w:p>
      <w:r>
        <w:t xml:space="preserve">| 10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настоящей государственной услуги. |</w:t>
      </w:r>
    </w:p>
    <w:p>
      <w:r>
        <w:t xml:space="preserve">| 11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Адреса мест оказания государственной услуги размещены на интернет-ресурсах: Министерства – www.miid.gov.kz, раздел "Государственные услуги"; Государственной корпорации – www.gov4c.kz.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 Телефон Единого контакт центра по вопросам оказания государственных услуг: 1414, 8 800 080 7777. |</w:t>
      </w:r>
    </w:p>
    <w:p>
      <w:r>
        <w:t xml:space="preserve">|  | Приложение 3 к Правилам оформления и выдачи мореходной книжки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Штамп о прекращении ведения мореходной книжки и выдаче новой мореходной книжки взамен использованной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 _________________________________ Теңізде жүзу кітапшасын жүргізу тоқтатылды. Теңізде жүзу кітапшасы берілді. ТЖК № _____________ 20___ жылғы "_____" ______________ _________________________ (ұйыматауы) ___________________________ ______________ ___________________________ (лауазымы)                   (қолы)                   (аты-жөні) ____________________________________ ________________________________</w:t>
      </w:r>
    </w:p>
    <w:p>
      <w:r>
        <w:t xml:space="preserve">|  | Приложение 2 к приказу Министра индустрии и инфраструктурного развития Республики Казахстан от 15 мая 2020 года № 294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структурных элементов некоторых приказов Министерства по инвестициям и развитию Республики Казахстан и Министерства индустрии и инфраструктурного развития Республики Казахстан, признанных утратившими силу</w:t>
      </w:r>
    </w:p>
    <w:p>
      <w:pPr>
        <w:pStyle w:val="Heading2"/>
      </w:pPr>
      <w:r>
        <w:t xml:space="preserve">Пункт 1</w:t>
      </w:r>
    </w:p>
    <w:p>
      <w:r>
        <w:t xml:space="preserve">1. В приказе Министра по инвестициям и развитию Республики Казахстан от 30 апреля 2015 года № 558 "Об утверждении стандартов государственных услуг в сфере торгового мореплавания" (зарегистрирован в Реестре государственной регистрации нормативных правовых актов № 11354, опубликован 10 июля 2015 года в информационно-правовой системе "Әділет"):</w:t>
      </w:r>
    </w:p>
    <w:p>
      <w:r>
        <w:t xml:space="preserve">подпункт 8) пункта 1 исключить.</w:t>
      </w:r>
    </w:p>
    <w:p>
      <w:pPr>
        <w:pStyle w:val="Heading2"/>
      </w:pPr>
      <w:r>
        <w:t xml:space="preserve">Пункт 2</w:t>
      </w:r>
    </w:p>
    <w:p>
      <w:r>
        <w:t xml:space="preserve">2. В приказе Министра индустрии и инфраструктурного развития Республики Казахстан от 30 января 2019 года № 53 "О внесении изменений и дополнения в приказ Министра по инвестициям и развитию Республики Казахстан от 30 апреля 2015 года № 558 "Об утверждении стандартов государственных услуг в сфере торгового мореплавания" (зарегистрирован в Реестре государственной регистрации нормативных правовых актов за № 18270, опубликован 25 февраля 2019 года в Эталонном контрольном банке нормативных правовых актов Республики Казахстан):</w:t>
      </w:r>
    </w:p>
    <w:p>
      <w:r>
        <w:t xml:space="preserve">части 11 и 19 пункта 1 исключить.</w:t>
      </w:r>
    </w:p>
    <w:p>
      <w:pPr>
        <w:pStyle w:val="Heading2"/>
      </w:pPr>
      <w:r>
        <w:t xml:space="preserve">Пункт 3</w:t>
      </w:r>
    </w:p>
    <w:p>
      <w:r>
        <w:t xml:space="preserve">3. В приказе Министра индустрии и инфраструктурного развития Республики Казахстан от 5 ноября 2019 года № 825 "О внесении изменений в некоторые приказы Министерства транспорта и коммуникаций Республики Казахстан и Министерства по инвестициям и развитию Республики Казахстан" (зарегистрирован в Реестре государственной регистрации нормативных правовых актов за № 19584, опубликован 19 ноября 2019 года в Эталонном контрольном банке нормативных правовых актов Республики Казахстан):</w:t>
      </w:r>
    </w:p>
    <w:p>
      <w:r>
        <w:t xml:space="preserve">в Перечне некоторых приказов Министерства транспорта и коммуникаций Республики Казахстан и Министерства по инвестициям и развитию Республики Казахстан, в которые вносятся изменения, утвержденном указанным приказом:</w:t>
      </w:r>
    </w:p>
    <w:p>
      <w:r>
        <w:t xml:space="preserve">части 5, 6, 7 пункта 13 исключить.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