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на 2015 год</w:t>
      </w:r>
    </w:p>
    <w:p>
      <w:r>
        <w:t xml:space="preserve">Постановление. Акимат Мойынкумского района. от 03.02.2015. № 87550. редакция от 03.02.2015</w:t>
      </w:r>
    </w:p>
    <w:p>
      <w:r>
        <w:t xml:space="preserve">| Аким района | Б. Мадикенов |</w:t>
      </w:r>
    </w:p>
    <w:p>
      <w:r>
        <w:t xml:space="preserve">|---|---|</w:t>
      </w:r>
    </w:p>
    <w:p>
      <w:r>
        <w:t xml:space="preserve">|  | Приложение к постановлению акимата Мойынкумского района от "3" февраля 2015 года № 15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на 2015 год</w:t>
      </w:r>
    </w:p>
    <w:p>
      <w:r>
        <w:t xml:space="preserve">| Наименование | Государственный образовательный заказ (мест) в том числе финансируемых | Размер подушевого финансирования в месяц (тенге) в том числе финансируемых | Размер родительской платы в месяц (тенге) |  |  |</w:t>
      </w:r>
    </w:p>
    <w:p>
      <w:r>
        <w:t xml:space="preserve">|---|---|---|---|---|---|</w:t>
      </w:r>
    </w:p>
    <w:p>
      <w:r>
        <w:t xml:space="preserve">| за счет республиканского целевого трансферта | за счет местного бюджета | за счет республиканских целевых трансфертов (тенге) | за счет местного бюджета (тенге) |  |  |</w:t>
      </w:r>
    </w:p>
    <w:p>
      <w:r>
        <w:t xml:space="preserve">| Государственный дошкольный организации |  |  |  |  |  |</w:t>
      </w:r>
    </w:p>
    <w:p>
      <w:r>
        <w:t xml:space="preserve">| Мини-центр | 300 |  | 10203 | 7000 | 4200 |</w:t>
      </w:r>
    </w:p>
    <w:p>
      <w:r>
        <w:t xml:space="preserve">| Детские сады | 750 | 500 | 22202 | 39355 | 4200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