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Правил возмещения расходов на закладку и выращивание плантаций быстрорастущих древесных и кустарниковых пород, создание и развитие частных лесных питомников</w:t>
      </w:r>
    </w:p>
    <w:p>
      <w:r>
        <w:t xml:space="preserve">Правила, Приказ. Министерство сельского хозяйства Республики Казахстан. от 27.02.2015. № 91988. редакция от 26.05.2026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18-35) статьи 13 Лесного кодекса Республики Казахстан и пунктом 1) статьи 10 Закона "О государственных услугах" 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Правила возмещения расходов на закладку и выращивание плантаций быстрорастущих древесных и кустарниковых пород, создание и развитие частных лесных питомников.</w:t>
      </w:r>
    </w:p>
    <w:p>
      <w:pPr>
        <w:pStyle w:val="Heading2"/>
      </w:pPr>
      <w:r>
        <w:t xml:space="preserve">Пункт 2</w:t>
      </w:r>
    </w:p>
    <w:p>
      <w:r>
        <w:t xml:space="preserve">2. Комитету лесного хозяйства и животного мира Министерства сельского хозяйства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копии на официальное опубликование в периодических печатных изданиях и в информационно-правовой системе "Әділет";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приказа на интернет-ресурсе Министерства сельского хозяйства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Исполняющий обязанности |  |</w:t>
      </w:r>
    </w:p>
    <w:p>
      <w:r>
        <w:t xml:space="preserve">|---|---|</w:t>
      </w:r>
    </w:p>
    <w:p>
      <w:r>
        <w:t xml:space="preserve">| Министра сельского хозяйства |  |</w:t>
      </w:r>
    </w:p>
    <w:p>
      <w:r>
        <w:t xml:space="preserve">| Республики Казахстан | С. Омаров |</w:t>
      </w:r>
    </w:p>
    <w:p>
      <w:pPr>
        <w:pStyle w:val="Heading2"/>
      </w:pPr>
      <w:r>
        <w:t xml:space="preserve">Текст</w:t>
      </w:r>
    </w:p>
    <w:p>
      <w:r>
        <w:t xml:space="preserve">"СОГЛАСОВАН"</w:t>
      </w:r>
    </w:p>
    <w:p>
      <w:pPr>
        <w:pStyle w:val="Heading2"/>
      </w:pPr>
      <w:r>
        <w:t xml:space="preserve">Текст</w:t>
      </w:r>
    </w:p>
    <w:p>
      <w:r>
        <w:t xml:space="preserve">Министр финансов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__________ Б. Султанов</w:t>
      </w:r>
    </w:p>
    <w:p>
      <w:pPr>
        <w:pStyle w:val="Heading2"/>
      </w:pPr>
      <w:r>
        <w:t xml:space="preserve">Текст</w:t>
      </w:r>
    </w:p>
    <w:p>
      <w:r>
        <w:t xml:space="preserve">30 марта 2015 года</w:t>
      </w:r>
    </w:p>
    <w:p>
      <w:pPr>
        <w:pStyle w:val="Heading2"/>
      </w:pPr>
      <w:r>
        <w:t xml:space="preserve">Текст</w:t>
      </w:r>
    </w:p>
    <w:p>
      <w:r>
        <w:t xml:space="preserve">"СОГЛАСОВАН"</w:t>
      </w:r>
    </w:p>
    <w:p>
      <w:pPr>
        <w:pStyle w:val="Heading2"/>
      </w:pPr>
      <w:r>
        <w:t xml:space="preserve">Текст</w:t>
      </w:r>
    </w:p>
    <w:p>
      <w:r>
        <w:t xml:space="preserve">Министр национальной экономики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___________ Е. Досаев</w:t>
      </w:r>
    </w:p>
    <w:p>
      <w:pPr>
        <w:pStyle w:val="Heading2"/>
      </w:pPr>
      <w:r>
        <w:t xml:space="preserve">Текст</w:t>
      </w:r>
    </w:p>
    <w:p>
      <w:r>
        <w:t xml:space="preserve">"  "   2015 года</w:t>
      </w:r>
    </w:p>
    <w:p>
      <w:r>
        <w:t xml:space="preserve">|  | Утверждены приказом исполняющего обязанности Министра сельского хозяйства Республики Казахстан от 27 февраля 2015 года № 18-02/169 |</w:t>
      </w:r>
    </w:p>
    <w:p>
      <w:r>
        <w:t xml:space="preserve">|---|---|</w:t>
      </w:r>
    </w:p>
    <w:p>
      <w:pPr>
        <w:pStyle w:val="Heading2"/>
      </w:pPr>
      <w:r>
        <w:t xml:space="preserve">Глава Правила возмещения расходов на закладку и выращивание плантаций быстрорастущих древесных и кустарниковых пород, создание и развитие частных лесных питомников</w:t>
      </w:r>
    </w:p>
    <w:p>
      <w:pPr>
        <w:pStyle w:val="Heading2"/>
      </w:pPr>
      <w:r>
        <w:t xml:space="preserve">Текст</w:t>
      </w:r>
    </w:p>
    <w:p>
      <w:r>
        <w:t xml:space="preserve">Сноска. Правила - в редакции приказа и.о. Министра экологии, геологии и природных ресурсов РК от 08.11.2022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разработаны в соответствии с подпунктом 18-35) статьи 13 Лесного кодекса Республики Казахстан, с пунктом 1) статьи 10 Закона "О государственных услугах" и определяют порядок возмещения расходов на закладку и выращивание плантаций быстрорастущих древесных и кустарниковых пород, создание и развитие частных лесных питомников, а также порядок оказания государственной услуги "Возмещение расходов на закладку и выращивание плантаций быстрорастущих древесных и кустарниковых пород, создание и развитие частных лесных питомников".</w:t>
      </w:r>
    </w:p>
    <w:p>
      <w:pPr>
        <w:pStyle w:val="Heading2"/>
      </w:pPr>
      <w:r>
        <w:t xml:space="preserve">Пункт 2</w:t>
      </w:r>
    </w:p>
    <w:p>
      <w:r>
        <w:t xml:space="preserve">2. В настоящих Правилах используются следующие понятия и определения:</w:t>
      </w:r>
    </w:p>
    <w:p>
      <w:pPr>
        <w:pStyle w:val="Heading2"/>
      </w:pPr>
      <w:r>
        <w:t xml:space="preserve">Подпункт 1</w:t>
      </w:r>
    </w:p>
    <w:p>
      <w:r>
        <w:t xml:space="preserve">1) администратор бюджетной программы (далее – администратор) – ведомство уполномоченного органа в области лесного хозяйства;</w:t>
      </w:r>
    </w:p>
    <w:p>
      <w:pPr>
        <w:pStyle w:val="Heading2"/>
      </w:pPr>
      <w:r>
        <w:t xml:space="preserve">Подпункт 2</w:t>
      </w:r>
    </w:p>
    <w:p>
      <w:r>
        <w:t xml:space="preserve">2) создание и развитие частных лесных питомников – цикл производства работ по созданию и развитию лесных питомников, включающий проектно-изыскательские и строительно-монтажные работы, выращивание древесных и кустарниковых пород для озеленения, воспроизводства лесов и лесоразведения;</w:t>
      </w:r>
    </w:p>
    <w:p>
      <w:pPr>
        <w:pStyle w:val="Heading2"/>
      </w:pPr>
      <w:r>
        <w:t xml:space="preserve">Подпункт 3</w:t>
      </w:r>
    </w:p>
    <w:p>
      <w:r>
        <w:t xml:space="preserve">3) рабочий орган – местный исполнительный орган областей, городов республиканского значения и столицы в области лесного хозяйства, уполномоченный на рассмотрение заявок участников (услугополучателей) и принятия решений о выплате/отказе в предоставлении возмещения расходов</w:t>
      </w:r>
    </w:p>
    <w:p>
      <w:pPr>
        <w:pStyle w:val="Heading2"/>
      </w:pPr>
      <w:r>
        <w:t xml:space="preserve">Подпункт 4</w:t>
      </w:r>
    </w:p>
    <w:p>
      <w:r>
        <w:t xml:space="preserve">4) субъекты государственной поддержки (далее – субъекты поддержки) - граждане Республики Казахстан и негосударственные юридические лица Республики Казахстан без иностранного участия, осуществляющие деятельность по закладке и выращиванию плантаций дикорастущих древесных и кустарниковых пород, по созданию и развитию частных лесных питомников;</w:t>
      </w:r>
    </w:p>
    <w:p>
      <w:pPr>
        <w:pStyle w:val="Heading2"/>
      </w:pPr>
      <w:r>
        <w:t xml:space="preserve">Подпункт 5</w:t>
      </w:r>
    </w:p>
    <w:p>
      <w:r>
        <w:t xml:space="preserve">5) закладка и выращивание плантаций быстрорастущих древесных и кустарниковых пород – полный цикл производства древесины древесных и кустарниковых растений от проектно-изыскательских работ до заготовки древесины;</w:t>
      </w:r>
    </w:p>
    <w:p>
      <w:pPr>
        <w:pStyle w:val="Heading2"/>
      </w:pPr>
      <w:r>
        <w:t xml:space="preserve">Подпункт 6</w:t>
      </w:r>
    </w:p>
    <w:p>
      <w:r>
        <w:t xml:space="preserve">6) веб-портал "электронного правительства" (далее – веб-портал) – информационная система, представляющая собой единое окно доступа ко всей консолидированной правительственной информации, включая нормативную правовую базу, и к государственным услугам, услугам по выдаче технических условий на подключение к сетям субъектов естественных монополий и услугам субъектов квазигосударственного сектора, оказываемым в электронной форме;</w:t>
      </w:r>
    </w:p>
    <w:p>
      <w:pPr>
        <w:pStyle w:val="Heading2"/>
      </w:pPr>
      <w:r>
        <w:t xml:space="preserve">Подпункт 7</w:t>
      </w:r>
    </w:p>
    <w:p>
      <w:r>
        <w:t xml:space="preserve">7) электронная цифровая подпись (далее - ЭЦП) -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p>
      <w:pPr>
        <w:pStyle w:val="Heading2"/>
      </w:pPr>
      <w:r>
        <w:t xml:space="preserve">Глава 2 Порядок возмещения расходов на закладку и выращивание плантаций быстрорастущих древесных и кустарниковых пород, создание и развитие частных лесных питомников</w:t>
      </w:r>
    </w:p>
    <w:p>
      <w:pPr>
        <w:pStyle w:val="Heading2"/>
      </w:pPr>
      <w:r>
        <w:t xml:space="preserve">Пункт 3</w:t>
      </w:r>
    </w:p>
    <w:p>
      <w:r>
        <w:t xml:space="preserve">3. Государственная поддержка частного лесоразведения осуществляется посредством:</w:t>
      </w:r>
    </w:p>
    <w:p>
      <w:pPr>
        <w:pStyle w:val="Heading2"/>
      </w:pPr>
      <w:r>
        <w:t xml:space="preserve">Подпункт 1</w:t>
      </w:r>
    </w:p>
    <w:p>
      <w:r>
        <w:t xml:space="preserve">1) возмещения до пятидесяти процентов расходов на закладку и выращивание плантаций в промышленных и энергетических целях:</w:t>
      </w:r>
    </w:p>
    <w:p>
      <w:r>
        <w:t xml:space="preserve">за общее количество сеянцев (саженцев) деревьев вяза из расчета затрат на 1 гектар за один год, но не более 0,01 месячного расчетного показателя за одну единицу дерева;</w:t>
      </w:r>
    </w:p>
    <w:p>
      <w:r>
        <w:t xml:space="preserve">за общее количество сеянцев (саженцев) саксаула из расчета затрат на 1 гектар за один год, но не более 0,01 месячного расчетного показателя за одну единицу дерева;</w:t>
      </w:r>
    </w:p>
    <w:p>
      <w:r>
        <w:t xml:space="preserve">за общее количество сеянцев (саженцев) саксаула черного из расчета затрат на 1 гектар за один год, но не более 0,011 месячного расчетного показателя за одну единицу дерева;</w:t>
      </w:r>
    </w:p>
    <w:p>
      <w:r>
        <w:t xml:space="preserve">за общее количество сеянцев (саженцев) сосны обыкновенной из расчета затрат на 1 гектар за два года, но не более 0,008 месячного расчетного показателя за одну единицу дерева;</w:t>
      </w:r>
    </w:p>
    <w:p>
      <w:r>
        <w:t xml:space="preserve">за общее количество сеянцев (саженцев) лиственных пород (вяз мелколистный, клен ясенелистный) из расчета затрат на 1 гектар за два года, но не более 0,017 месячного расчетного показателя за одну единицу дерева;</w:t>
      </w:r>
    </w:p>
    <w:p>
      <w:r>
        <w:t xml:space="preserve">за общее количество сеянцев (саженцев) других быстрорастущих древесных и кустарниковых пород из расчета затрат на 1 гектар за один год, но не более 0,01 месячного расчетного показателя за одну единицу дерева;</w:t>
      </w:r>
    </w:p>
    <w:p>
      <w:pPr>
        <w:pStyle w:val="Heading2"/>
      </w:pPr>
      <w:r>
        <w:t xml:space="preserve">Подпункт 2</w:t>
      </w:r>
    </w:p>
    <w:p>
      <w:r>
        <w:t xml:space="preserve">2) возмещения до пятидесяти процентов расходов на создание и развитие частных лесных питомников:</w:t>
      </w:r>
    </w:p>
    <w:p>
      <w:r>
        <w:t xml:space="preserve">за общее количество сеянцев (саженцев) деревьев вяза из расчета затрат на 1 гектар за один год, но не более 0,01 месячного расчетного показателя за одну единицу дерева;</w:t>
      </w:r>
    </w:p>
    <w:p>
      <w:r>
        <w:t xml:space="preserve">за общее количество сеянцев (саженцев) саксаула из расчета затрат на 1 гектар за один год, но не более 0,01 месячного расчетного показателя за одну единицу дерева;</w:t>
      </w:r>
    </w:p>
    <w:p>
      <w:r>
        <w:t xml:space="preserve">за общее количество сеянцев (саженцев) саксаула черного из расчета затрат на 1 гектар за один год, но не более 0,011 месячного расчетного показателя за одну единицу дерева;</w:t>
      </w:r>
    </w:p>
    <w:p>
      <w:r>
        <w:t xml:space="preserve">за общее количество сеянцев (саженцев) сосны обыкновенной из расчета затрат на 1 гектар за два года, но не более 0,008 месячного расчетного показателя за одну единицу дерева;</w:t>
      </w:r>
    </w:p>
    <w:p>
      <w:r>
        <w:t xml:space="preserve">за общее количество сеянцев (саженцев) лиственных пород (вяз мелколистный, клен ясенелистный) из расчета затрат на 1 гектар за два года, но не более 0,017 месячного расчетного показателя за одну единицу дерева;</w:t>
      </w:r>
    </w:p>
    <w:p>
      <w:r>
        <w:t xml:space="preserve">за общее количество сеянцев (саженцев) других быстрорастущих древесных и кустарниковых пород из расчета затрат на 1 гектар за один год, но не более 0,01 месячного расчетного показателя за одну единицу дерева.</w:t>
      </w:r>
    </w:p>
    <w:p>
      <w:pPr>
        <w:pStyle w:val="Heading2"/>
      </w:pPr>
      <w:r>
        <w:t xml:space="preserve">Пункт 4</w:t>
      </w:r>
    </w:p>
    <w:p>
      <w:r>
        <w:t xml:space="preserve">4. Государственная поддержка частного лесоразведения осуществляется не более следующих сроков:</w:t>
      </w:r>
    </w:p>
    <w:p>
      <w:pPr>
        <w:pStyle w:val="Heading2"/>
      </w:pPr>
      <w:r>
        <w:t xml:space="preserve">Подпункт 1</w:t>
      </w:r>
    </w:p>
    <w:p>
      <w:r>
        <w:t xml:space="preserve">1) плантационного выращивания быстрорастущих древесных и кустарниковых пород в промышленных и энергетических целях для лиственных пород не более десяти лет, для хвойных пород не более пятнадцати лет;</w:t>
      </w:r>
    </w:p>
    <w:p>
      <w:pPr>
        <w:pStyle w:val="Heading2"/>
      </w:pPr>
      <w:r>
        <w:t xml:space="preserve">Подпункт 2</w:t>
      </w:r>
    </w:p>
    <w:p>
      <w:r>
        <w:t xml:space="preserve">2) создание и развитие частного лесного питомника для лиственных пород не более пяти лет, для хвойных пород не более десяти лет.</w:t>
      </w:r>
    </w:p>
    <w:p>
      <w:pPr>
        <w:pStyle w:val="Heading2"/>
      </w:pPr>
      <w:r>
        <w:t xml:space="preserve">Пункт 5</w:t>
      </w:r>
    </w:p>
    <w:p>
      <w:r>
        <w:t xml:space="preserve">5. Возмещение расходов осуществляется при достижении минимальных показателей объема выпускаемой продукции:</w:t>
      </w:r>
    </w:p>
    <w:p>
      <w:pPr>
        <w:pStyle w:val="Heading2"/>
      </w:pPr>
      <w:r>
        <w:t xml:space="preserve">Подпункт 1</w:t>
      </w:r>
    </w:p>
    <w:p>
      <w:r>
        <w:t xml:space="preserve">1) на закладку и выращивание плантаций быстрорастущих древесных и кустарниковых пород не менее 500 сеянцев и (или) саженцев на 1 гектар;</w:t>
      </w:r>
    </w:p>
    <w:p>
      <w:pPr>
        <w:pStyle w:val="Heading2"/>
      </w:pPr>
      <w:r>
        <w:t xml:space="preserve">Подпункт 2</w:t>
      </w:r>
    </w:p>
    <w:p>
      <w:r>
        <w:t xml:space="preserve">2) на создание и развитие частных лесных питомников не менее 200 000 сеянцев или не менее 5 000 саженцев на 1 гектар.</w:t>
      </w:r>
    </w:p>
    <w:p>
      <w:pPr>
        <w:pStyle w:val="Heading2"/>
      </w:pPr>
      <w:r>
        <w:t xml:space="preserve">Пункт 6</w:t>
      </w:r>
    </w:p>
    <w:p>
      <w:r>
        <w:t xml:space="preserve">6. Предложения по объемам возмещения расходов на закладку и выращивание плантаций быстрорастущих древесных и кустарниковых пород, создание и развитие частных лесных питомников (далее – предложения по объемам возмещения) составляются в двух экземплярах и предоставляются сопроводительным письмом за подписью акима области, города республиканского значения, столицы, в случае его отсутствия – лицом, исполняющим его обязанности, на одобрение администратору, не позднее 1 июля соответствующего года.</w:t>
      </w:r>
    </w:p>
    <w:p>
      <w:r>
        <w:t xml:space="preserve">При предоставлении на одобрение Администратору предложения по объемам возмещения прилагаются документы, обосновывающие расчеты по объемам возмещения, с учетом требований, установленных настоящими Правилами.</w:t>
      </w:r>
    </w:p>
    <w:p>
      <w:r>
        <w:t xml:space="preserve">В случае положительного решения, Администратор возвращает соответствующим сопроводительным письмом один экземпляр предложения по объемам субсидирования, не позднее 30 июля соответствующего года. В случае отрицательного решения, Администратор письмом с мотивированным обоснованием направляет на доработку оба экземпляра предложения по объемам возмещения, не позднее 30 июля соответствующего года.</w:t>
      </w:r>
    </w:p>
    <w:p>
      <w:r>
        <w:t xml:space="preserve">Доработанные предложения по объемам возмещения в двух экземплярах предоставляются на повторное одобрение Администратору, не позднее 5 августа соответствующего года.</w:t>
      </w:r>
    </w:p>
    <w:p>
      <w:r>
        <w:t xml:space="preserve">Администратор возвращает соответствующим сопроводительным письмом один экземпляр одобренного предложения по объемам возмещения, не позднее 10 августа соответствующего года.</w:t>
      </w:r>
    </w:p>
    <w:p>
      <w:r>
        <w:t xml:space="preserve">После одобрения Администратором, рабочий орган в течение двух рабочих дней размещает объемы возмещения на своем официальном интернет-ресурсе.</w:t>
      </w:r>
    </w:p>
    <w:p>
      <w:pPr>
        <w:pStyle w:val="Heading2"/>
      </w:pPr>
      <w:r>
        <w:t xml:space="preserve">Пункт 7</w:t>
      </w:r>
    </w:p>
    <w:p>
      <w:r>
        <w:t xml:space="preserve">7. Местный исполнительный орган (услугодатель) в течение 3 (трех) рабочих дней после утверждения индивидуального плана финансирования по обязательствам и платежам государственных учреждений (далее – План финансирования) размещает его на веб-портале.</w:t>
      </w:r>
    </w:p>
    <w:p>
      <w:pPr>
        <w:pStyle w:val="Heading2"/>
      </w:pPr>
      <w:r>
        <w:t xml:space="preserve">Пункт 8</w:t>
      </w:r>
    </w:p>
    <w:p>
      <w:r>
        <w:t xml:space="preserve">8. Возмещение расходов на закладку и выращивание плантаций, создание и развитие частных лесных питомников осуществляется за счет и в пределах средств, предусмотренных в государственном бюджете на соответствующий финансовый год. Средства, предусмотренные в бюджете на возмещение расходов на закладку и выращивание плантаций, создание и развитие частных лесных питомников, распределяются между местными исполнительными органами пропорционально согласно поданным предложениям по объемам возмещения.</w:t>
      </w:r>
    </w:p>
    <w:p>
      <w:r>
        <w:t xml:space="preserve">В случае если предложения по объемам возмещения превышает объем бюджетных средств, предусмотренных в государственном бюджете на соответствующий финансовый год, выплата расходов осуществляется в следующем году пропорционально согласно ранее поданным предложениям по объемам возмещения.</w:t>
      </w:r>
    </w:p>
    <w:p>
      <w:pPr>
        <w:pStyle w:val="Heading2"/>
      </w:pPr>
      <w:r>
        <w:t xml:space="preserve">Пункт 9</w:t>
      </w:r>
    </w:p>
    <w:p>
      <w:r>
        <w:t xml:space="preserve">9. Возмещению в рамках настоящих Правил не подлежат расходы, связанные со строительством и (или) ремонтом, кроме объектов капитального строительства производственного назначения, связанных с созданием и развитием частных лесных питомников.</w:t>
      </w:r>
    </w:p>
    <w:p>
      <w:pPr>
        <w:pStyle w:val="Heading2"/>
      </w:pPr>
      <w:r>
        <w:t xml:space="preserve">Пункт 10</w:t>
      </w:r>
    </w:p>
    <w:p>
      <w:r>
        <w:t xml:space="preserve">10. Возмещение расходов не предоставляются субъектам поддержки, в отношении которых начаты процедуры ликвидации, реабилитации или банкротства в соответствии со статьей 50 Закона Республики Казахстан "О реабилитации и банкротстве".</w:t>
      </w:r>
    </w:p>
    <w:p>
      <w:pPr>
        <w:pStyle w:val="Heading2"/>
      </w:pPr>
      <w:r>
        <w:t xml:space="preserve">Пункт 11</w:t>
      </w:r>
    </w:p>
    <w:p>
      <w:r>
        <w:t xml:space="preserve">11. Для возмещения расходов на закладку и выращивание плантаций, создание и развитие частных лесных питомников субъект поддержки не позднее 30 сентября текущего года посредством веб-портала представляет документы, указанные в пункте 8 перечня основных требований к оказанию государственной услуги (далее – требование), согласно приложению 3 к настоящим Правилам.</w:t>
      </w:r>
    </w:p>
    <w:p>
      <w:r>
        <w:t xml:space="preserve">Сведения о документах, удостоверяющих личность и государственной регистрации (перерегистрации) юридического лица, земельных участках услугодатель получают из соответствующих государственных информационных систем через шлюз "электронного правительства".</w:t>
      </w:r>
    </w:p>
    <w:p>
      <w:pPr>
        <w:pStyle w:val="Heading2"/>
      </w:pPr>
      <w:r>
        <w:t xml:space="preserve">Пункт 12</w:t>
      </w:r>
    </w:p>
    <w:p>
      <w:r>
        <w:t xml:space="preserve">12. Рабочий орган в течение 2 (двух) рабочих дней с момента регистрации заявления субъекта поддержки на веб-портале, проверяет полноту и достоверность представленных документов и направляет уведомление через личный кабинет услугополучателя веб-портала о дате и времени осмотра и приемки работ или мотивированный отказ.</w:t>
      </w:r>
    </w:p>
    <w:p>
      <w:r>
        <w:t xml:space="preserve">Услугодатель в течение 10 (десяти) рабочих дней организует изучение документов на достоверность указанных сведений в представленных документах, осмотр и приемку работ комиссией в соответствии с пунктом 13 настоящих Правил.</w:t>
      </w:r>
    </w:p>
    <w:p>
      <w:pPr>
        <w:pStyle w:val="Heading2"/>
      </w:pPr>
      <w:r>
        <w:t xml:space="preserve">Пункт 13</w:t>
      </w:r>
    </w:p>
    <w:p>
      <w:r>
        <w:t xml:space="preserve">13. Ежегодно не позднее 30 сентября соответствующего года рабочий орган создает комиссию по приемке выполненных работ (далее - комиссия) из числа сотрудников рабочего органа и других организаций, являющихся представителями общественных и неправительственных отраслевых организаций не менее 5 (пяти) человек. Количество членов комиссии является нечетным.</w:t>
      </w:r>
    </w:p>
    <w:p>
      <w:r>
        <w:t xml:space="preserve">В состав комиссии входят не менее двух третей представителей общественных и неправительственных отраслевых организаций от общего количества членов комиссии.</w:t>
      </w:r>
    </w:p>
    <w:p>
      <w:r>
        <w:t xml:space="preserve">Комиссия состоит из председателя, членов комиссии и секретаря. Секретарь комиссии не является ее членом. Председателем комиссию является должностное лицо рабочего органа.</w:t>
      </w:r>
    </w:p>
    <w:p>
      <w:r>
        <w:t xml:space="preserve">Положение и персональный состав комиссии утверждается рабочим органом.</w:t>
      </w:r>
    </w:p>
    <w:p>
      <w:r>
        <w:t xml:space="preserve">Члены комиссии осуществляют свои полномочия лично без права передоверия третьим лицам.</w:t>
      </w:r>
    </w:p>
    <w:p>
      <w:r>
        <w:t xml:space="preserve">Заседания комиссии считаются правомочными, если на них присутствует более половины от общего числа членов комиссии.</w:t>
      </w:r>
    </w:p>
    <w:p>
      <w:r>
        <w:t xml:space="preserve">Решения комиссии принимаются открытым голосованием большинством голосов от общего числа членов комиссии, присутствующих на ее заседании.</w:t>
      </w:r>
    </w:p>
    <w:p>
      <w:r>
        <w:t xml:space="preserve">Члены Комиссии обладают равными голосами при принятии решения. В случае равенства голосов, принятым считается решение, за которое проголосовал председатель комиссии.</w:t>
      </w:r>
    </w:p>
    <w:p>
      <w:r>
        <w:t xml:space="preserve">При возникновении у члена комиссии конфликта интересов, член комиссии, у которого возник конфликт интересов, в письменной форме уведомляет председателя комиссии о возникшем конфликте интересов.</w:t>
      </w:r>
    </w:p>
    <w:p>
      <w:r>
        <w:t xml:space="preserve">Председатель комиссии по обращению члена комиссии, у которого возник конфликт интересов, своевременно отстраняет члена комиссии, у которого возник конфликт интересов, от участия в работе комиссии.</w:t>
      </w:r>
    </w:p>
    <w:p>
      <w:r>
        <w:t xml:space="preserve">Комиссия осуществляет проверку документов, осмотр плантаций и частных лесных питомников, с приложением подтверждающих фото и (или) видеоматериалов, а также актов инвентаризации лесных питомников и (или) плантаций (при наличии).</w:t>
      </w:r>
    </w:p>
    <w:p>
      <w:r>
        <w:t xml:space="preserve">На каждую плантацию, частный лесной питомник направляется не менее 2 (двух) сотрудников рабочего органа.</w:t>
      </w:r>
    </w:p>
    <w:p>
      <w:r>
        <w:t xml:space="preserve">Осмотр и приемка работ осуществляется в присутствии субъекта поддержки или его доверенного лица. По результатам осмотра и приемки сотрудники рабочего органа оформляют акт приемки выполненных работ по форме согласно приложению 2 к настоящим Правилам (далее – акт приемки), копия которой в течении 3 (трех) рабочих дней направляется субъекту поддержки или его доверенному лицу.</w:t>
      </w:r>
    </w:p>
    <w:p>
      <w:pPr>
        <w:pStyle w:val="Heading2"/>
      </w:pPr>
      <w:r>
        <w:t xml:space="preserve">Пункт 14</w:t>
      </w:r>
    </w:p>
    <w:p>
      <w:r>
        <w:t xml:space="preserve">14. Перечень основных требований к оказанию государственной услуги,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 изложены в требование.</w:t>
      </w:r>
    </w:p>
    <w:p>
      <w:pPr>
        <w:pStyle w:val="Heading2"/>
      </w:pPr>
      <w:r>
        <w:t xml:space="preserve">Пункт 15</w:t>
      </w:r>
    </w:p>
    <w:p>
      <w:r>
        <w:t xml:space="preserve">15. Услугодатель отказывает в оказании государственной услуги по основаниям, предусмотренным пунктом 9 требования и выдает услугополучателю уведомление об отказе в оказании государственной услуги.</w:t>
      </w:r>
    </w:p>
    <w:p>
      <w:pPr>
        <w:pStyle w:val="Heading2"/>
      </w:pPr>
      <w:r>
        <w:t xml:space="preserve">Пункт 16</w:t>
      </w:r>
    </w:p>
    <w:p>
      <w:r>
        <w:t xml:space="preserve">16. В соответствии со статьей 73 Административного процедурно-процессуального кодекса Республики Казахстан Услугодатель предоставляет возможность Услугополучателю выразить свою позицию (заслушивание) к предварительному решению об отказе в оказании государственной услуги, о котором Услугополучатель уведомляется не позднее чем за 3 (три) рабочих дня до принятия решения.</w:t>
      </w:r>
    </w:p>
    <w:p>
      <w:r>
        <w:t xml:space="preserve">Процедура заслушивания проводится в соответствии с Административным процедурно-процессуальным кодексом Республики Казахстан.</w:t>
      </w:r>
    </w:p>
    <w:p>
      <w:r>
        <w:t xml:space="preserve">По результатам заслушивания услугодатель выдает уведомление о результатах рассмотрения заявки на возмещение расходов по форме согласно приложению 4 к настоящим Правилам либо мотивированный отказ в оказании государственной услуги, которое направляется услугополучателю через веб-портал и направляется в "личный кабинет" услугополучателя в форме электронного документа, подписанного ЭЦП уполномоченного лица услугодателя.</w:t>
      </w:r>
    </w:p>
    <w:p>
      <w:pPr>
        <w:pStyle w:val="Heading2"/>
      </w:pPr>
      <w:r>
        <w:t xml:space="preserve">Пункт 17</w:t>
      </w:r>
    </w:p>
    <w:p>
      <w:r>
        <w:t xml:space="preserve">17.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соответствии с приказом исполняющего обязанности Министра транспорта и коммуникаций Республики Казахстан от 14 июня 2013 года № 452 "Об утверждении Правил внесения данных в информационную систему мониторинга оказания государственных услуг о стадии оказания государственной услуги" (зарегистрирован в Реестре государственной регистрации нормативных правовых актов под № 8555).</w:t>
      </w:r>
    </w:p>
    <w:p>
      <w:r>
        <w:t xml:space="preserve">В соответствии с пунктом 2 статьи 23 Закона Республики Казахстан "О государственных услугах" центральный государственный орган и услугодатели в течение трех рабочих дней с даты утверждения или изменения подзаконного нормативного правового акта, определяющего порядок оказания государственной услуги, актуализируют информацию о порядке ее оказания и направляют в Единый контакт-центр.</w:t>
      </w:r>
    </w:p>
    <w:p>
      <w:pPr>
        <w:pStyle w:val="Heading2"/>
      </w:pPr>
      <w:r>
        <w:t xml:space="preserve">Глава 3 Порядок выплаты возмещения расходов на закладку и выращивание плантаций быстрорастущих древесных и кустарниковых пород, создание и развитие частных лесных питомников</w:t>
      </w:r>
    </w:p>
    <w:p>
      <w:pPr>
        <w:pStyle w:val="Heading2"/>
      </w:pPr>
      <w:r>
        <w:t xml:space="preserve">Пункт 18</w:t>
      </w:r>
    </w:p>
    <w:p>
      <w:r>
        <w:t xml:space="preserve">18. После получения уведомления об одобрении возмещения расходов в течение 10 (десяти) календарных дней выдается письмо о возмещении расходов на закладку и выращивание плантаций быстрорастущих древесных и кустарниковых пород, на создание и развитие частных лесных питомников.</w:t>
      </w:r>
    </w:p>
    <w:p>
      <w:pPr>
        <w:pStyle w:val="Heading2"/>
      </w:pPr>
      <w:r>
        <w:t xml:space="preserve">Пункт 19</w:t>
      </w:r>
    </w:p>
    <w:p>
      <w:r>
        <w:t xml:space="preserve">19. Рабочий орган в течении 5 (пяти) календарных дней после выдачи письма о возмещении расходов на закладку и выращивание плантаций быстрорастущих древесных и кустарниковых пород, на создание и развитие частных лесных питомников в соответствии с Планом финансирования осуществляет выплату субъектам поддержки на счета банков второго уровня.</w:t>
      </w:r>
    </w:p>
    <w:p>
      <w:pPr>
        <w:pStyle w:val="Heading2"/>
      </w:pPr>
      <w:r>
        <w:t xml:space="preserve">Пункт 20</w:t>
      </w:r>
    </w:p>
    <w:p>
      <w:r>
        <w:t xml:space="preserve">20. Субъект поддержки, получивший возмещении расходов, соблюдает минимальные показатели объема выпускаемой продукции, предусмотренные в пункте 5 настоящих Правил, в течение одного календарного года.</w:t>
      </w:r>
    </w:p>
    <w:p>
      <w:pPr>
        <w:pStyle w:val="Heading2"/>
      </w:pPr>
      <w:r>
        <w:t xml:space="preserve">Пункт 21</w:t>
      </w:r>
    </w:p>
    <w:p>
      <w:r>
        <w:t xml:space="preserve">21. Для осуществления мониторинга соблюдения пункта 20 настоящих Правил, рабочий орган запрашивает у субъекта поддержки, получившего возмещении расходов информацию по достижению минимальных показателей объема выпускаемой продукции.</w:t>
      </w:r>
    </w:p>
    <w:p>
      <w:r>
        <w:t xml:space="preserve">Субъект поддержки в течение 10 (десяти) рабочих дней представляет запрашиваемую информацию рабочему органу.</w:t>
      </w:r>
    </w:p>
    <w:p>
      <w:pPr>
        <w:pStyle w:val="Heading2"/>
      </w:pPr>
      <w:r>
        <w:t xml:space="preserve">Пункт 22</w:t>
      </w:r>
    </w:p>
    <w:p>
      <w:r>
        <w:t xml:space="preserve">22. Рабочий орган проводит осмотр на предмет соблюдения пункта 20 настоящих Правил, в соответствии с пунктом 13 настоящих Правил.</w:t>
      </w:r>
    </w:p>
    <w:p>
      <w:pPr>
        <w:pStyle w:val="Heading2"/>
      </w:pPr>
      <w:r>
        <w:t xml:space="preserve">Пункт 23</w:t>
      </w:r>
    </w:p>
    <w:p>
      <w:r>
        <w:t xml:space="preserve">23. В случае недостижения субъектом поддержки минимальных показателей объема выпускаемой продукции, рабочий орган в течение пятнадцати рабочих дней со дня выявления факта, принимает меры по прекращению возмещению расходов и инициирует судебное разбирательство по возврату денежных средств с уведомлением субъекта поддержки.</w:t>
      </w:r>
    </w:p>
    <w:p>
      <w:r>
        <w:t xml:space="preserve">Субъект поддержки может добровольно вернуть полученные денежные средства.</w:t>
      </w:r>
    </w:p>
    <w:p>
      <w:pPr>
        <w:pStyle w:val="Heading2"/>
      </w:pPr>
      <w:r>
        <w:t xml:space="preserve">Пункт 24</w:t>
      </w:r>
    </w:p>
    <w:p>
      <w:r>
        <w:t xml:space="preserve">24. Рабочий орган ежеквартально, не позднее 5 числа месяца, следующего за отчетным, представляет администратору сведения об освоении возмещение расходов.</w:t>
      </w:r>
    </w:p>
    <w:p>
      <w:pPr>
        <w:pStyle w:val="Heading2"/>
      </w:pPr>
      <w:r>
        <w:t xml:space="preserve">Глава 4 Порядок обжалования решений, действий (бездействий) услугодателя и (или) его должностных лиц, по вопросам оказания государственных услуг</w:t>
      </w:r>
    </w:p>
    <w:p>
      <w:pPr>
        <w:pStyle w:val="Heading2"/>
      </w:pPr>
      <w:r>
        <w:t xml:space="preserve">Пункт 25</w:t>
      </w:r>
    </w:p>
    <w:p>
      <w:r>
        <w:t xml:space="preserve">25. Рассмотрение жалобы на решение, действия (бездействия) услугодателя по вопросам оказания государственной услуги производится должностным лицом, вышестоящим уполномоченным органом, осуществляющим государственное регулирование в сфере лесного хозяйства, уполномоченным органом по оценке и контролю за качеством оказания государственных услуг (далее – орган, рассматривающий жалобу) в соответствии с законодательством Республики Казахстан.</w:t>
      </w:r>
    </w:p>
    <w:p>
      <w:r>
        <w:t xml:space="preserve">Жалоба подается услугодателю и (или) должностному лицу, чье решение, действие (бездействие) обжалуются.</w:t>
      </w:r>
    </w:p>
    <w:p>
      <w:r>
        <w:t xml:space="preserve">Жалоба услугополучателя, поступившая в адрес услугодателя, в соответствии с пунктом 2 статьи 25 Закона Республики Казахстан" О государственных услугах" подлежит рассмотрению в течение 5 (пяти) рабочих дней со дня ее регистрации.</w:t>
      </w:r>
    </w:p>
    <w:p>
      <w:r>
        <w:t xml:space="preserve">Жалоба услугополучателя, поступившая в адрес уполномоченного органа по оценке и контролю за качеством оказания государственных услуг подлежит рассмотрению в течение 15 (пятнадцати) рабочих дней со дня ее регистрации.</w:t>
      </w:r>
    </w:p>
    <w:p>
      <w:r>
        <w:t xml:space="preserve">Услугодатель, должностное лицо, чье решение, действие (бездействие) обжалуются, не позднее 3 (трех) рабочих дней со дня поступления жалобы направляет ее и административное дело в орган, рассматривающий жалобу.</w:t>
      </w:r>
    </w:p>
    <w:p>
      <w:r>
        <w:t xml:space="preserve">При этом услугодатель, должностное лицо, чье решение, действие (бездействие) обжалуются, не направляет жалобу в орган, рассматривающий жалобу, если он в течение 3 (трех) рабочих дней примет решение либо иное административное действие, полностью удовлетворяющие требованиям, указанным в жалобе.</w:t>
      </w:r>
    </w:p>
    <w:p>
      <w:r>
        <w:t xml:space="preserve">Если иное не предусмотрено законом, обращение с жалобой в суд допускается после обжалования в досудебном порядке.</w:t>
      </w:r>
    </w:p>
    <w:p>
      <w:r>
        <w:t xml:space="preserve">|  | Приложение 1 к Правилам возмещения расходов на закладку и выращивание плантаций быстрорастущих древесных и кустарниковых пород, создание и развитие частных лесных питомников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Заявление на возмещение расходов на закладку и выращивание плантаций быстрорастущих древесных и кустарниковых пород и создание и развитие частных лесных питомников</w:t>
      </w:r>
    </w:p>
    <w:p>
      <w:pPr>
        <w:pStyle w:val="Heading2"/>
      </w:pPr>
      <w:r>
        <w:t xml:space="preserve">Текст</w:t>
      </w:r>
    </w:p>
    <w:p>
      <w:r>
        <w:t xml:space="preserve">В ____________________________________________________________________________ (полное наименование местного исполнительного органа области, города республиканского значения, столицы) от ___________________________________________________________________________ (полное наименование юридического лица, фамилия, имя, отчество (при его наличии) физического лица) Прошу провести возмещение расходов: на закладку и выращивание плантаций быстрорастущих древесных и кустарниковых пород; создание и развитие частных лесных питомников; (выбрать наименование вида деятельности) в том числе осмотр и приемку работ на предмет соответствия или несоответствия условиям Правил возмещения расходов на закладку и выращивание плантаций быстрорастущих древесных и кустарниковых пород, создание и развитие частных лесных питомников, утвержденных приказом исполняющего обязанности Министра сельского хозяйства Республики Казахстан от 27 февраля 2015 года № 18-02/169 (зарегистрирован в Реестре государственной регистрации нормативных правовых актов № 11633). 1. Сведения о субъекте поддержки: Для юридического лица/ филиала, представительства: наименование __________________________________________________________________ Бизнес-идентификационный номер (далее – БИН) _____________________________________ фамилия, имя, отчество (при его наличии) руководителя _______________________________ адрес _________________________________________________________________________ номер телефона (факса) __________________________________________________________ Для физического лица: фамилия, имя, отчество (при его наличии) ___________________________________________ Индивидуальный идентификационный номер (далее – ИИН) ____________________________ документ, удостоверяющий личность: номер _________________________________________________________________________ кем выдано _____________________________________________________________________ дата выдачи ____________________________________________________________________ адрес __________________________________________________________________________ номер телефона (факса) ___________________________________________________________.</w:t>
      </w:r>
    </w:p>
    <w:p>
      <w:pPr>
        <w:pStyle w:val="Heading2"/>
      </w:pPr>
      <w:r>
        <w:t xml:space="preserve">Пункт 2</w:t>
      </w:r>
    </w:p>
    <w:p>
      <w:r>
        <w:t xml:space="preserve">2. Уведомление о начале деятельности в качестве индивидуального предпринимателя: местонахождение ________________________________________________________________ дата уведомления ________________________________________________________________. 3. Сведения о земельных участках:</w:t>
      </w:r>
    </w:p>
    <w:p>
      <w:r>
        <w:t xml:space="preserve">| № п/п | Кадастровый номер | Площадь всего, гектар | Целевое назначение | Наименование и БИН/ИИН собственника земельного участка или землепользователя |</w:t>
      </w:r>
    </w:p>
    <w:p>
      <w:r>
        <w:t xml:space="preserve">|---|---|---|---|---|</w:t>
      </w:r>
    </w:p>
    <w:p>
      <w:r>
        <w:t xml:space="preserve">| 1 | 2 | 3 | 4 | 5 |</w:t>
      </w:r>
    </w:p>
    <w:p>
      <w:pPr>
        <w:pStyle w:val="Heading2"/>
      </w:pPr>
      <w:r>
        <w:t xml:space="preserve">Пункт 4</w:t>
      </w:r>
    </w:p>
    <w:p>
      <w:r>
        <w:t xml:space="preserve">4. Сведения: описание _______________________________________________________________________ период осуществления частного лесоразведения_______________________________________ сумма расходов _________________________________________________________________ источник финансовых средств, за счет которых он реализует деятельность _______________________________________________________________________________ расчетная сумма возмещения_______________________________________________________ адрес реализации плантации и (или) лесного питомника _________________________________.</w:t>
      </w:r>
    </w:p>
    <w:p>
      <w:pPr>
        <w:pStyle w:val="Heading2"/>
      </w:pPr>
      <w:r>
        <w:t xml:space="preserve">Пункт 5</w:t>
      </w:r>
    </w:p>
    <w:p>
      <w:r>
        <w:t xml:space="preserve">5. За период с _____________ по _______________ 20__года на общую сумму понесенных расходов в размере _______________ тенге, включая налог на добавленную стоимость.</w:t>
      </w:r>
    </w:p>
    <w:p>
      <w:pPr>
        <w:pStyle w:val="Heading2"/>
      </w:pPr>
      <w:r>
        <w:t xml:space="preserve">Пункт 6</w:t>
      </w:r>
    </w:p>
    <w:p>
      <w:r>
        <w:t xml:space="preserve">6. Информация о достижении показателей по производительности и (или) продуктивности и (или) объемов сбыта продукции и (или) загрузки производственных мощностей и сроках их реализации __________________________________________________.</w:t>
      </w:r>
    </w:p>
    <w:p>
      <w:pPr>
        <w:pStyle w:val="Heading2"/>
      </w:pPr>
      <w:r>
        <w:t xml:space="preserve">Пункт 7</w:t>
      </w:r>
    </w:p>
    <w:p>
      <w:r>
        <w:t xml:space="preserve">7. Счет субъекта поддержки ___________________________________ № счета _____________. (наименование банка второго уровня) _______________________________________________________________________________ Даю согласие на осмотр и приемку работ рабочим органом. Подтверждаю достоверность представленной информации, осведомлен об ответственности за представление недостоверных сведений в соответствии с законодательством Республики Казахстан и даю согласие на использование сведений, составляющих охраняемую законом тайну, а также на сбор, обработку, хранение, выгрузку и использование персональных данных. Подтверждаю, что в отношении меня/нас не начаты процедуры ликвидации, реабилитации или банкротства, а также то, что моя/наша деятельность не приостановлена в соответствии с законодательством Республики Казахстан. В случае выявления при проверке несоответствия представленных сведений, в течение десяти рабочих дней возвращаю незаконно полученные денежные средства. Подписано и отправлено субъектом поддержки в ___ часов "__" _____ 20__ года: Данные из электронной цифровой подписи (далее – ЭЦП) Дата и время подписания ЭЦП Уведомление о принятии заявки: Принято рабочим органом в ___ часов "__" ______ 20__ года: Данные из ЭЦП Дата и время подписания ЭЦП</w:t>
      </w:r>
    </w:p>
    <w:p>
      <w:r>
        <w:t xml:space="preserve">|  | Приложение 2 к Правилам возмещения расходов на закладку и выращивание плантаций быстрорастущих древесных и кустарниковых пород, создание и развитие частных лесных питомников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Акт приемки выполненных работ от __________ 20__ года №___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______________________________________________________________________ (по закладке и (или) выращиванию плантаций быстрорастущих древесных и кустарниковых пород и (или) созданию и развитию частных лесных питомников (нужное выбрать) _______________________________________________________________________ Наименование области (города республиканского значения, столицы) Наименование субъекта поддержки: ________________________________________ Местоположение объекта: ________________________________________________ Комиссией, созданной на основании ________________________________________ от ____20__ года №___________, в составе: 1. ____________________________________________________________________ 2. ____________________________________________________________________ 3. ____________________________________________________________________ 4. ____________________________________________________________________ 5. ____________________________________________________________________ В ходе осмотра выявлено следующее: 1) лесничество _______, питомник _________, квартал № ________; 2) грунт – открытый, закрытый (нужное подчеркнуть); 3) порода ________________ год закладки посадки (посева) _____; 4) вид посадочного (семенного) материала _____________________ селекционный, семена собраны с постоянных лесосеменных плантаций; 5) площадь участка ______ гектар, схема (размещение) посадки посева саженцев_________________ количество лент, строк, рядов_________ штук, средняя длина ленты, строки, ряда __________ метр; 6) общая длина, лент, строк, рядов _________ метр; 7) количество высаженных сеянцев на 1 гектаре _______________ штук; 8) длина учетного отрезка ______ погонный метр или площадь учетной площади ________ квадратный метр; 9) результаты пересчета в натуре:</w:t>
      </w:r>
    </w:p>
    <w:p>
      <w:r>
        <w:t xml:space="preserve">|  | Количество сеянцев (саженцев) на пробной площади или учетном ряду, штук | Порядковый № пробной площади (учетного ряда) | Количество сеянцев (саженцев) на пробной площади или учетном ряду, штук |  |  |</w:t>
      </w:r>
    </w:p>
    <w:p>
      <w:r>
        <w:t xml:space="preserve">|---|---|---|---|---|---|</w:t>
      </w:r>
    </w:p>
    <w:p>
      <w:r>
        <w:t xml:space="preserve">| всего | в том числе стандартные (годные к посадке) | всего | в том числе стандартные (годные к посадке) |  |  |</w:t>
      </w:r>
    </w:p>
    <w:p>
      <w:r>
        <w:t xml:space="preserve">| 1 | 2 | 3 | 1 | 2 | 3 |</w:t>
      </w:r>
    </w:p>
    <w:p>
      <w:r>
        <w:t xml:space="preserve">| 1 2 3 4 5 Всего на пробах | 6 7 8 9 10 |  |  |  |  |</w:t>
      </w:r>
    </w:p>
    <w:p>
      <w:pPr>
        <w:pStyle w:val="Heading2"/>
      </w:pPr>
      <w:r>
        <w:t xml:space="preserve">Подпункт 10</w:t>
      </w:r>
    </w:p>
    <w:p>
      <w:r>
        <w:t xml:space="preserve">10) среднее количество сеянцев (саженцев) на 1 погонном метре (квадратном метре) по пересчету ________ штук, в том числе стандартных ____________ штук; 11) общее количество сеянцев (саженцев) на всей площади участка _____ тысяч штук, на 1 гектаре ______________ тысяч штук, в том числе стандартных: на всей площади участка _______ тысяч штук, на 1 гектаре ______тысяч штук. Выводы осмотра: _______________________________________________________________________ _______________________________________________________________________</w:t>
      </w:r>
    </w:p>
    <w:p>
      <w:r>
        <w:t xml:space="preserve">| № п/п | Наименование работ и (или) расходов на приобретение материалов | Единица измерения | Количество | Общая стоимость, тенге |  |  |</w:t>
      </w:r>
    </w:p>
    <w:p>
      <w:r>
        <w:t xml:space="preserve">|---|---|---|---|---|---|---|</w:t>
      </w:r>
    </w:p>
    <w:p>
      <w:r>
        <w:t xml:space="preserve">| Всего | В том числе |  |  |  |  |  |</w:t>
      </w:r>
    </w:p>
    <w:p>
      <w:r>
        <w:t xml:space="preserve">| Основная заработная плата | Прочие расходы |  |  |  |  |  |</w:t>
      </w:r>
    </w:p>
    <w:p>
      <w:r>
        <w:t xml:space="preserve">|  | Итого |  |  |  |  |  |</w:t>
      </w:r>
    </w:p>
    <w:p>
      <w:r>
        <w:t xml:space="preserve">|  | в том числе НДС |  |  |  |  |  |</w:t>
      </w:r>
    </w:p>
    <w:p>
      <w:pPr>
        <w:pStyle w:val="Heading2"/>
      </w:pPr>
      <w:r>
        <w:t xml:space="preserve">Текст</w:t>
      </w:r>
    </w:p>
    <w:p>
      <w:r>
        <w:t xml:space="preserve">Сумма, расходов составила ____________________________________________ тенге (цифрами, прописью) ___________________________________________________________________ ___________________________________________________________________ "___" ____________ 20 __ год Комиссия по приемке выполненных работ в составе ___________________________________________________________________ ___________________________________________________________________ (фамилия, имя, отчество (при наличии), подпись) подтверждает проведение указанных в таблице сумм расходов. К акту прилагается подтверждающих фото и (или) видеоматериалы. Подпись субъекта поддержки (представителя субъекта поддержки): ________________________________________________________ (доверенность №___ от __________________)</w:t>
      </w:r>
    </w:p>
    <w:p>
      <w:r>
        <w:t xml:space="preserve">|  | Приложение 3 к Правилам возмещения расходов на закладку и выращивание плантаций быстрорастущих древесных и кустарниковых пород, создание и развитие частных лесных питомников |</w:t>
      </w:r>
    </w:p>
    <w:p>
      <w:r>
        <w:t xml:space="preserve">|---|---|</w:t>
      </w:r>
    </w:p>
    <w:p>
      <w:r>
        <w:t xml:space="preserve">| Перечень основных требований к оказанию государственной услуги "Возмещение расходов на закладку и выращивание плантаций быстрорастущих древесных и кустарниковых пород, создание и развитие частных лесных питомников" |  |  |</w:t>
      </w:r>
    </w:p>
    <w:p>
      <w:r>
        <w:t xml:space="preserve">|---|---|---|</w:t>
      </w:r>
    </w:p>
    <w:p>
      <w:r>
        <w:t xml:space="preserve">| 1 | Наименование услугодателя | Местные исполнительные органы областей, городов Нур-Султана, Алматы и Шымкента (далее – услугодатель) |</w:t>
      </w:r>
    </w:p>
    <w:p>
      <w:r>
        <w:t xml:space="preserve">| 2 | Способы предоставления государственной услуги | Прием заявлений и выдача результатов осуществляется посредством веб-портала |</w:t>
      </w:r>
    </w:p>
    <w:p>
      <w:r>
        <w:t xml:space="preserve">| 3 | Срок оказания государственной услуги | 15 (пятнадцать) рабочих дней |</w:t>
      </w:r>
    </w:p>
    <w:p>
      <w:r>
        <w:t xml:space="preserve">| 4 | Форма оказания государственной услуги | Электронная (полностью автоматизированная) |</w:t>
      </w:r>
    </w:p>
    <w:p>
      <w:r>
        <w:t xml:space="preserve">| 5 | Результат оказания государственной услуги | Уведомление об одобрении возмещения расходов в рамках государственной поддержки частного лесоразведения либо мотивированный отказ в оказании государственной услуги. . Форма представления результата оказания государственной услуги: электронная. Результат оказания государственной услуги направляется и хранится в "личном кабинете" услугополучателя в форме электронного документа, подписанного электронной цифровой подписью (далее – ЭЦП) руководителя услугодателя либо лица его замещающего. |</w:t>
      </w:r>
    </w:p>
    <w:p>
      <w:r>
        <w:t xml:space="preserve">| 6 | 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 | Государственная услуга оказывается бесплатно |</w:t>
      </w:r>
    </w:p>
    <w:p>
      <w:r>
        <w:t xml:space="preserve">| 7 | График работы услугодателя, Государственной корпорации и объектов информации | 1) услугодателя – с понедельника по пятницу, в соответствии с установленным графиком работы с 9.00 до 18.30 часов, за исключением выходных и праздничных дней, согласно Трудовому кодексу Республики Казахстан от 23 ноября 2015 года (далее – Кодекс) с перерывом на обед с 13.00 часов до 14.30 часов. 2) веб-портала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Кодексу , прием заявлений и выдача результатов оказания государственной услуги осуществляется следующим рабочим днем). Адреса услугодателей размещены на: 1) интернет-ресурсе соответствующего услугодателя; 2) единой платформе интернет-ресурсов государственных органов https://beta.egov.kz; 3) на веб-портале. |</w:t>
      </w:r>
    </w:p>
    <w:p>
      <w:r>
        <w:t xml:space="preserve">| 8 | Перечень документов и сведений, истребуемых у услугополучателя для оказания государственной услуги | 1) электронное заявление на возмещение расходов на закладку и выращивание плантаций быстрорастущих древесных и кустарниковых пород и (или) на создание и развитие частных лесных питомников по форме, согласно приложению 1 к настоящим Правилам; 2) сканированные копии оригиналов документов в электронном формате "PDF (Portable Document Format)": подтверждающих документов выполненных работ (акты поставщиков товаров (работ, услуг), электронные счет-фактуры, квитанции); 3) акт на земельный участок с целевым назначением для лесоразведения на праве частной собственности или договор аренды, площадью не менее 3 гектар для плантаций, и не менее 1 гектара для частных лесных питомников. |</w:t>
      </w:r>
    </w:p>
    <w:p>
      <w:r>
        <w:t xml:space="preserve">| 9 | Основания для отказа в оказании государственной услуги, установленные законодательством Республики Казахстан | 1) установление недостоверности документов и (или) документов с истекшим сроком действия, представленных услугополучателем для получения государственной услуги, и (или) данных (сведений), содержащихся в них; 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 Лесного кодекса и настоящих правил; 3) в отношении субъекта поддержки имеется вступившее в законную силу решение (приговор) суда о запрещении деятельности или отдельных видов деятельности, требующих получения данной государственной услуги. |</w:t>
      </w:r>
    </w:p>
    <w:p>
      <w:r>
        <w:t xml:space="preserve">| 10 | Иные требования с учетом особенностей оказания государственной услуги, в том числе оказываемой в электронной форме и через Государственную корпорацию | Услугополучатель получает государственную услугу в электронной форме через веб-ортал при условии наличия ЭЦП.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веб-портала, справочных служб услугодателя, а также Единого контакт-центра "1414", 8-800-080-7777. |</w:t>
      </w:r>
    </w:p>
    <w:p>
      <w:r>
        <w:t xml:space="preserve">|  | Приложение 4 к Правилам возмещения расходов на закладку и выращивание плантаций быстрорастущих древесных и кустарниковых пород, создание и развитие частных лесных питомников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Уведомление о результатах рассмотрения заявки на возмещение расходов №_____ от "___" _________ 20 ____ года</w:t>
      </w:r>
    </w:p>
    <w:p>
      <w:pPr>
        <w:pStyle w:val="Heading2"/>
      </w:pPr>
      <w:r>
        <w:t xml:space="preserve">Текст</w:t>
      </w:r>
    </w:p>
    <w:p>
      <w:r>
        <w:t xml:space="preserve">Наименование рабочего органа _________________________________________________________________________ (полное наименование местного исполнительного органа области, города республиканского значения, столицы) Наименование субъекта поддержки _________________________________________________________________________ (полное наименование юридического лица, фамилия, имя, отчество (при его наличии) физического лица) Направление государственной поддержки частного лесоразведения _________________________________________________________________________ (одно из направлений согласно статье 112-1 Лесного кодекса Республики Казахстан) Дата обращения "__________" _______________________ 20 ____ года Решение _________________________________________________________________ от Данные из электронной цифровой подписи (далее – ЭЦП) Дата и время подписания ЭЦП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