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Об утверждении Правил ведения охотничьего хозяйства</w:t>
      </w:r>
    </w:p>
    <w:p>
      <w:r>
        <w:t xml:space="preserve">Правила, Приказ. Министерство сельского хозяйства Республики Казахстан. от 29.05.2015. № 91653. редакция от 28.02.2023</w:t>
      </w:r>
    </w:p>
    <w:p>
      <w:pPr>
        <w:pStyle w:val="Heading2"/>
      </w:pPr>
      <w:r>
        <w:t xml:space="preserve">Текст</w:t>
      </w:r>
    </w:p>
    <w:p>
      <w:r>
        <w:t xml:space="preserve">В соответствии с подпунктом 58) пункта 1 статьи 9 Закона Республики Казахстан от 9 июля 2004 года "Об охране, воспроизводстве и использовании животного мира" ПРИКАЗЫВАЮ:</w:t>
      </w:r>
    </w:p>
    <w:p>
      <w:pPr>
        <w:pStyle w:val="Heading2"/>
      </w:pPr>
      <w:r>
        <w:t xml:space="preserve">Пункт 1</w:t>
      </w:r>
    </w:p>
    <w:p>
      <w:r>
        <w:t xml:space="preserve">1. Утвердить прилагаемые Правила ведения охотничьего хозяйства.</w:t>
      </w:r>
    </w:p>
    <w:p>
      <w:pPr>
        <w:pStyle w:val="Heading2"/>
      </w:pPr>
      <w:r>
        <w:t xml:space="preserve">Пункт 2</w:t>
      </w:r>
    </w:p>
    <w:p>
      <w:r>
        <w:t xml:space="preserve">2. Комитету лесного хозяйства и животного мира Министерства сельского хозяйства Республики Казахстан в установленном законодательством порядке обеспечить:</w:t>
      </w:r>
    </w:p>
    <w:p>
      <w:pPr>
        <w:pStyle w:val="Heading2"/>
      </w:pPr>
      <w:r>
        <w:t xml:space="preserve">Подпункт 1</w:t>
      </w:r>
    </w:p>
    <w:p>
      <w:r>
        <w:t xml:space="preserve">1) государственную регистрацию настоящего приказа в Министерстве юстиции Республики Казахстан;</w:t>
      </w:r>
    </w:p>
    <w:p>
      <w:pPr>
        <w:pStyle w:val="Heading2"/>
      </w:pPr>
      <w:r>
        <w:t xml:space="preserve">Подпункт 2</w:t>
      </w:r>
    </w:p>
    <w:p>
      <w:r>
        <w:t xml:space="preserve">2) в течение десяти календарных дней после государственной регистрации настоящего приказа в Министерстве юстиции Республики Казахстан направление его копии на официальное опубликование в периодические печатные издания и в информационно-правовую систему "Әділет";</w:t>
      </w:r>
    </w:p>
    <w:p>
      <w:pPr>
        <w:pStyle w:val="Heading2"/>
      </w:pPr>
      <w:r>
        <w:t xml:space="preserve">Подпункт 3</w:t>
      </w:r>
    </w:p>
    <w:p>
      <w:r>
        <w:t xml:space="preserve">3) размещение настоящего приказа на интернет-ресурсе Министерства сельского хозяйства Республики Казахстан.</w:t>
      </w:r>
    </w:p>
    <w:p>
      <w:pPr>
        <w:pStyle w:val="Heading2"/>
      </w:pPr>
      <w:r>
        <w:t xml:space="preserve">Пункт 3</w:t>
      </w:r>
    </w:p>
    <w:p>
      <w:r>
        <w:t xml:space="preserve">3. Настоящий приказ вводится в действие по истечении десяти календарных дней после дня его первого официального опубликования.</w:t>
      </w:r>
    </w:p>
    <w:p>
      <w:r>
        <w:t xml:space="preserve">| Исполняющий обязанности |  |</w:t>
      </w:r>
    </w:p>
    <w:p>
      <w:r>
        <w:t xml:space="preserve">|---|---|</w:t>
      </w:r>
    </w:p>
    <w:p>
      <w:r>
        <w:t xml:space="preserve">| Министра | С. Омаров |</w:t>
      </w:r>
    </w:p>
    <w:p>
      <w:r>
        <w:t xml:space="preserve">|  | Утверждены приказом исполняющего обязанности Министра сельского хозяйства Республики Казахстан от 29 мая 2015 года № 18-2/501 |</w:t>
      </w:r>
    </w:p>
    <w:p>
      <w:r>
        <w:t xml:space="preserve">|---|---|</w:t>
      </w:r>
    </w:p>
    <w:p>
      <w:pPr>
        <w:pStyle w:val="Heading2"/>
      </w:pPr>
      <w:r>
        <w:t xml:space="preserve">Глава Правила ведения охотничьего хозяйства Глава 1. Общие положения</w:t>
      </w:r>
    </w:p>
    <w:p>
      <w:pPr>
        <w:pStyle w:val="Heading2"/>
      </w:pPr>
      <w:r>
        <w:t xml:space="preserve">Текст</w:t>
      </w:r>
    </w:p>
    <w:p>
      <w:r>
        <w:t xml:space="preserve">Сноска. Заголовок главы 1 в редакции приказа Заместителя Премьер-Министра РК - Министра сельского хозяйства РК от 02.11.2018</w:t>
      </w:r>
    </w:p>
    <w:p>
      <w:pPr>
        <w:pStyle w:val="Heading2"/>
      </w:pPr>
      <w:r>
        <w:t xml:space="preserve">Пункт 1</w:t>
      </w:r>
    </w:p>
    <w:p>
      <w:r>
        <w:t xml:space="preserve">1. Настоящие Правила ведения охотничьего хозяйства (далее-Правила) разработаны в соответствии с подпунктом 58) пункта 1 статьи 9 Закона Республики Казахстан от 9 июля 2004 года "Об охране, воспроизводстве и использовании животного мира" и определяют порядок ведения охотничьего хозяйства.</w:t>
      </w:r>
    </w:p>
    <w:p>
      <w:pPr>
        <w:pStyle w:val="Heading2"/>
      </w:pPr>
      <w:r>
        <w:t xml:space="preserve">Пункт 2</w:t>
      </w:r>
    </w:p>
    <w:p>
      <w:r>
        <w:t xml:space="preserve">2. Основанием для ведения охотничьего хозяйства гражданами Республики Казахстан и (или) юридическими лицами Республики Казахстан является решение местного исполнительного органа области (далее – исполнительный орган) о закреплении охотничьих угодий, договора на ведение охотничьего хозяйства, заключаемого между территориальным подразделением ведомства и пользователем животным миром (далее - договор).</w:t>
      </w:r>
    </w:p>
    <w:p>
      <w:r>
        <w:t xml:space="preserve">Решение исполнительного органа о закреплении охотничьих угодий основывается на решении конкурсной комиссии по закреплению охотничьих угодий.</w:t>
      </w:r>
    </w:p>
    <w:p>
      <w:pPr>
        <w:pStyle w:val="Heading2"/>
      </w:pPr>
      <w:r>
        <w:t xml:space="preserve">Пункт 3</w:t>
      </w:r>
    </w:p>
    <w:p>
      <w:r>
        <w:t xml:space="preserve">3. По результатам межхозяйственного охотоустройства охотничьих угодий, проведенного в соответствии с приказом Министра сельского хозяйства Республики Казахстан "Об утверждении Правил по межхозяйственному охотоустройству на территории Республики Казахстан" от 17 февраля 2012 года № 25-03-01/63, ведомство уполномоченного органа в области охраны, воспроизводства и использования животного мира определяет категории охотничьих хозяйств, согласно приложения 1 к настоящим Правилам.</w:t>
      </w:r>
    </w:p>
    <w:p>
      <w:pPr>
        <w:pStyle w:val="Heading2"/>
      </w:pPr>
      <w:r>
        <w:t xml:space="preserve">Пункт 4</w:t>
      </w:r>
    </w:p>
    <w:p>
      <w:r>
        <w:t xml:space="preserve">4. Охотохозяйственная организация, в сроки определенные договором, обеспечивает проведение внутрихозяйственного охотоустройства на закрепленных за ней охотничьих угодьях в соответствии с приказом Министра сельского хозяйства Республики Казахстан от 16 июля 2012 года № 17-03/362 "Об утверждении Правил по внутрихозяйственному охотоустройству на территории Республики Казахстан" (зарегистрированный в Реестре государственной регистрации нормативных правовых актов № 7851) (далее - Приказ).</w:t>
      </w:r>
    </w:p>
    <w:p>
      <w:pPr>
        <w:pStyle w:val="Heading2"/>
      </w:pPr>
      <w:r>
        <w:t xml:space="preserve">Пункт 5</w:t>
      </w:r>
    </w:p>
    <w:p>
      <w:r>
        <w:t xml:space="preserve">5. План ведения охотничьего хозяйства, разработанный по материалам внутрихозяйственного охотоустройства, утверждается охотохозяйственной организацией, после чего подлежит исполнению.</w:t>
      </w:r>
    </w:p>
    <w:p>
      <w:pPr>
        <w:pStyle w:val="Heading2"/>
      </w:pPr>
      <w:r>
        <w:t xml:space="preserve">Пункт 6</w:t>
      </w:r>
    </w:p>
    <w:p>
      <w:r>
        <w:t xml:space="preserve">6. Внутрихозяйственное охотоустройство разрабатывается на ревизионный период продолжительностью на 10 (десять) лет или на срок заключения договора в соответствии с Приказом.</w:t>
      </w:r>
    </w:p>
    <w:p>
      <w:r>
        <w:t xml:space="preserve">Материалы внутрихозяйственного охотоустройства являются основанием для изменения категории охотничьего хозяйства внесения изменений и дополнений в договор.</w:t>
      </w:r>
    </w:p>
    <w:p>
      <w:pPr>
        <w:pStyle w:val="Heading2"/>
      </w:pPr>
      <w:r>
        <w:t xml:space="preserve">Пункт 6-1</w:t>
      </w:r>
    </w:p>
    <w:p>
      <w:r>
        <w:t xml:space="preserve">6-1. Договор на ведение охотничьего хозяйства прекращается в случаях:</w:t>
      </w:r>
    </w:p>
    <w:p>
      <w:pPr>
        <w:pStyle w:val="Heading2"/>
      </w:pPr>
      <w:r>
        <w:t xml:space="preserve">Подпункт 1</w:t>
      </w:r>
    </w:p>
    <w:p>
      <w:r>
        <w:t xml:space="preserve">1) добровольного отказа от ведения охотничьего хозяйства;</w:t>
      </w:r>
    </w:p>
    <w:p>
      <w:pPr>
        <w:pStyle w:val="Heading2"/>
      </w:pPr>
      <w:r>
        <w:t xml:space="preserve">Подпункт 2</w:t>
      </w:r>
    </w:p>
    <w:p>
      <w:r>
        <w:t xml:space="preserve">2) истечения срока действия договора на ведение охотничьего хозяйства;</w:t>
      </w:r>
    </w:p>
    <w:p>
      <w:pPr>
        <w:pStyle w:val="Heading2"/>
      </w:pPr>
      <w:r>
        <w:t xml:space="preserve">Подпункт 3</w:t>
      </w:r>
    </w:p>
    <w:p>
      <w:r>
        <w:t xml:space="preserve">3) прекращения деятельности субъектов охотничьего хозяйства;</w:t>
      </w:r>
    </w:p>
    <w:p>
      <w:pPr>
        <w:pStyle w:val="Heading2"/>
      </w:pPr>
      <w:r>
        <w:t xml:space="preserve">Подпункт 4</w:t>
      </w:r>
    </w:p>
    <w:p>
      <w:r>
        <w:t xml:space="preserve">4) систематического нарушения условий договора на ведение охотничьего хозяйства;</w:t>
      </w:r>
    </w:p>
    <w:p>
      <w:pPr>
        <w:pStyle w:val="Heading2"/>
      </w:pPr>
      <w:r>
        <w:t xml:space="preserve">Подпункт 5</w:t>
      </w:r>
    </w:p>
    <w:p>
      <w:r>
        <w:t xml:space="preserve">5) систематического нарушения требований законодательства Республики Казахстан в области охраны, воспроизводства и использования животного мира;</w:t>
      </w:r>
    </w:p>
    <w:p>
      <w:pPr>
        <w:pStyle w:val="Heading2"/>
      </w:pPr>
      <w:r>
        <w:t xml:space="preserve">Подпункт 6</w:t>
      </w:r>
    </w:p>
    <w:p>
      <w:r>
        <w:t xml:space="preserve">6) изъятия земельных участков, на которых произведено закрепление охотничьих угодий, для государственных нужд в порядке, определенным Земельным кодексом Республики Казахстан от 20 июня 2003 года.</w:t>
      </w:r>
    </w:p>
    <w:p>
      <w:pPr>
        <w:pStyle w:val="Heading2"/>
      </w:pPr>
      <w:r>
        <w:t xml:space="preserve">Глава 2 Организация учета численности, сбора сведений для мониторинга объектов животного мира</w:t>
      </w:r>
    </w:p>
    <w:p>
      <w:pPr>
        <w:pStyle w:val="Heading2"/>
      </w:pPr>
      <w:r>
        <w:t xml:space="preserve">Текст</w:t>
      </w:r>
    </w:p>
    <w:p>
      <w:r>
        <w:t xml:space="preserve">Сноска. Заголовок главы 2 в редакции приказа Заместителя Премьер-Министра РК - Министра сельского хозяйства РК от 02.11.2018</w:t>
      </w:r>
    </w:p>
    <w:p>
      <w:pPr>
        <w:pStyle w:val="Heading2"/>
      </w:pPr>
      <w:r>
        <w:t xml:space="preserve">Пункт 7</w:t>
      </w:r>
    </w:p>
    <w:p>
      <w:r>
        <w:t xml:space="preserve">7. Основной целью учета объектов животного мира является оценка состояния популяций этих животных и планирование мероприятий по их охране, воспроизводству и устойчивому использованию.</w:t>
      </w:r>
    </w:p>
    <w:p>
      <w:pPr>
        <w:pStyle w:val="Heading2"/>
      </w:pPr>
      <w:r>
        <w:t xml:space="preserve">Пункт 8</w:t>
      </w:r>
    </w:p>
    <w:p>
      <w:r>
        <w:t xml:space="preserve">8. Учет численности объектов животного мира на закрепленных охотничьих угодьях осуществляется охотохозяйственными организациями в соответствии с приказом Министра сельского хозяйства Республики Казахстан от 1 марта 2012 года № 25-03-01/82 "Об утверждении Инструкции по проведению учета видов животных на территории Республики Казахстан" (зарегистрированный в Реестре государственной регистрации нормативных правовых актов № 7492).</w:t>
      </w:r>
    </w:p>
    <w:p>
      <w:pPr>
        <w:pStyle w:val="Heading2"/>
      </w:pPr>
      <w:r>
        <w:t xml:space="preserve">Пункт 9</w:t>
      </w:r>
    </w:p>
    <w:p>
      <w:r>
        <w:t xml:space="preserve">9. Результаты учета численности видов животных, отнесенных к объектам охоты, с учетом соотношения показателей оптимальной и фактической численности являются основой для определения лимитов и квот на их изъятие.</w:t>
      </w:r>
    </w:p>
    <w:p>
      <w:pPr>
        <w:pStyle w:val="Heading2"/>
      </w:pPr>
      <w:r>
        <w:t xml:space="preserve">Пункт 10</w:t>
      </w:r>
    </w:p>
    <w:p>
      <w:r>
        <w:t xml:space="preserve">10. Охотохозяйственные организации осуществляют производственный мониторинг объектов животного мира, представляющий собой систему наблюдений за распространением, численностью, состоянием объектов животного мира, структурой популяций качеством и площадью среды обитания с целью выявления и оценки происходящих изменений, предупреждения и устранения последствий негативных процессов и явлений для сохранения биологического разнообразия, обеспечения устойчивого использования животного мира.</w:t>
      </w:r>
    </w:p>
    <w:p>
      <w:pPr>
        <w:pStyle w:val="Heading2"/>
      </w:pPr>
      <w:r>
        <w:t xml:space="preserve">Глава 3 Охрана объектов животного мира</w:t>
      </w:r>
    </w:p>
    <w:p>
      <w:pPr>
        <w:pStyle w:val="Heading2"/>
      </w:pPr>
      <w:r>
        <w:t xml:space="preserve">Текст</w:t>
      </w:r>
    </w:p>
    <w:p>
      <w:r>
        <w:t xml:space="preserve">Сноска. Заголовок главы 3 в редакции приказа Заместителя Премьер-Министра РК - Министра сельского хозяйства РК от 02.11.2018</w:t>
      </w:r>
    </w:p>
    <w:p>
      <w:pPr>
        <w:pStyle w:val="Heading2"/>
      </w:pPr>
      <w:r>
        <w:t xml:space="preserve">Пункт 11</w:t>
      </w:r>
    </w:p>
    <w:p>
      <w:r>
        <w:t xml:space="preserve">11. Охрана объектов животного мира в закрепленных охотничьих угодьях пользователем животным миром осуществляется путем:</w:t>
      </w:r>
    </w:p>
    <w:p>
      <w:pPr>
        <w:pStyle w:val="Heading2"/>
      </w:pPr>
      <w:r>
        <w:t xml:space="preserve">Подпункт 1</w:t>
      </w:r>
    </w:p>
    <w:p>
      <w:r>
        <w:t xml:space="preserve">1) соблюдения правил, норм и нормативов по охране, воспроизводству и использованию объектов животного мира;</w:t>
      </w:r>
    </w:p>
    <w:p>
      <w:pPr>
        <w:pStyle w:val="Heading2"/>
      </w:pPr>
      <w:r>
        <w:t xml:space="preserve">Подпункт 2</w:t>
      </w:r>
    </w:p>
    <w:p>
      <w:r>
        <w:t xml:space="preserve">2) соблюдения ограничений и запретов на пользование животным миром;</w:t>
      </w:r>
    </w:p>
    <w:p>
      <w:pPr>
        <w:pStyle w:val="Heading2"/>
      </w:pPr>
      <w:r>
        <w:t xml:space="preserve">Подпункт 3</w:t>
      </w:r>
    </w:p>
    <w:p>
      <w:r>
        <w:t xml:space="preserve">3) охраны ценных, редких и находящихся под угрозой исчезновения видов животных;</w:t>
      </w:r>
    </w:p>
    <w:p>
      <w:pPr>
        <w:pStyle w:val="Heading2"/>
      </w:pPr>
      <w:r>
        <w:t xml:space="preserve">Подпункт 4</w:t>
      </w:r>
    </w:p>
    <w:p>
      <w:r>
        <w:t xml:space="preserve">4) предотвращения нарушений установленных правил пользования животным миром;</w:t>
      </w:r>
    </w:p>
    <w:p>
      <w:pPr>
        <w:pStyle w:val="Heading2"/>
      </w:pPr>
      <w:r>
        <w:t xml:space="preserve">Подпункт 5</w:t>
      </w:r>
    </w:p>
    <w:p>
      <w:r>
        <w:t xml:space="preserve">5) обеспечения организации охраны объектов животного мира их среды обитания, условий размножения, путей миграции и мест концентрации:</w:t>
      </w:r>
    </w:p>
    <w:p>
      <w:r>
        <w:t xml:space="preserve">создание егерской службы;</w:t>
      </w:r>
    </w:p>
    <w:p>
      <w:r>
        <w:t xml:space="preserve">обеспечение егерской службы форменной одеждой, служебным удостоверением, служебным оружием;</w:t>
      </w:r>
    </w:p>
    <w:p>
      <w:r>
        <w:t xml:space="preserve">проведение биотехнических мероприятий;</w:t>
      </w:r>
    </w:p>
    <w:p>
      <w:r>
        <w:t xml:space="preserve">оказание помощи государственным органам в осуществлении охраны охотничьих видов животных;</w:t>
      </w:r>
    </w:p>
    <w:p>
      <w:pPr>
        <w:pStyle w:val="Heading2"/>
      </w:pPr>
      <w:r>
        <w:t xml:space="preserve">Подпункт 6</w:t>
      </w:r>
    </w:p>
    <w:p>
      <w:r>
        <w:t xml:space="preserve">6) искусственного разведения охотничьих видов животных (Примечание: на усмотрение охотпользователя, в зависимости от его финансового положения);</w:t>
      </w:r>
    </w:p>
    <w:p>
      <w:pPr>
        <w:pStyle w:val="Heading2"/>
      </w:pPr>
      <w:r>
        <w:t xml:space="preserve">Подпункт 7</w:t>
      </w:r>
    </w:p>
    <w:p>
      <w:r>
        <w:t xml:space="preserve">7) оказания помощи животным в случае заболеваний, угрозы гибели при стихийных бедствиях и вследствие других причин;</w:t>
      </w:r>
    </w:p>
    <w:p>
      <w:pPr>
        <w:pStyle w:val="Heading2"/>
      </w:pPr>
      <w:r>
        <w:t xml:space="preserve">Подпункт 8</w:t>
      </w:r>
    </w:p>
    <w:p>
      <w:r>
        <w:t xml:space="preserve">8) пропаганды идей охраны и устойчивого использования объектов животного мира;</w:t>
      </w:r>
    </w:p>
    <w:p>
      <w:pPr>
        <w:pStyle w:val="Heading2"/>
      </w:pPr>
      <w:r>
        <w:t xml:space="preserve">Глава 4 Егерская служба охотничьих хозяйств</w:t>
      </w:r>
    </w:p>
    <w:p>
      <w:pPr>
        <w:pStyle w:val="Heading2"/>
      </w:pPr>
      <w:r>
        <w:t xml:space="preserve">Текст</w:t>
      </w:r>
    </w:p>
    <w:p>
      <w:r>
        <w:t xml:space="preserve">Сноска. Заголовок главы 4 в редакции приказа Заместителя Премьер-Министра РК - Министра сельского хозяйства РК от 02.11.2018</w:t>
      </w:r>
    </w:p>
    <w:p>
      <w:pPr>
        <w:pStyle w:val="Heading2"/>
      </w:pPr>
      <w:r>
        <w:t xml:space="preserve">Пункт 12</w:t>
      </w:r>
    </w:p>
    <w:p>
      <w:r>
        <w:t xml:space="preserve">12. Егерские службы создаются охотохозяйственными организациями за счет собственных средств.</w:t>
      </w:r>
    </w:p>
    <w:p>
      <w:pPr>
        <w:pStyle w:val="Heading2"/>
      </w:pPr>
      <w:r>
        <w:t xml:space="preserve">Глава 5 Воспроизводство животного мира в закрепленных охотничьих хозяйствах</w:t>
      </w:r>
    </w:p>
    <w:p>
      <w:pPr>
        <w:pStyle w:val="Heading2"/>
      </w:pPr>
      <w:r>
        <w:t xml:space="preserve">Текст</w:t>
      </w:r>
    </w:p>
    <w:p>
      <w:r>
        <w:t xml:space="preserve">Сноска. Заголовок главы 5 в редакции приказа Заместителя Премьер-Министра РК - Министра сельского хозяйства РК от 02.11.2018</w:t>
      </w:r>
    </w:p>
    <w:p>
      <w:pPr>
        <w:pStyle w:val="Heading2"/>
      </w:pPr>
      <w:r>
        <w:t xml:space="preserve">Пункт 13</w:t>
      </w:r>
    </w:p>
    <w:p>
      <w:r>
        <w:t xml:space="preserve">13. Воспроизводство животного мира в закрепленных охотничьих хозяйствах осуществляется охотохозяйственной организацией и включает в себя комплекс мероприятий, направленных на увеличение и поддержание оптимальной численности и устойчивого использования объектов животного мира.</w:t>
      </w:r>
    </w:p>
    <w:p>
      <w:pPr>
        <w:pStyle w:val="Heading2"/>
      </w:pPr>
      <w:r>
        <w:t xml:space="preserve">Пункт 14</w:t>
      </w:r>
    </w:p>
    <w:p>
      <w:r>
        <w:t xml:space="preserve">14. Воспроизводство животного мира в закрепленных охотничьих хозяйствах осуществляется с целью повышения продуктивности охотничьих угодий и достигается путем:</w:t>
      </w:r>
    </w:p>
    <w:p>
      <w:pPr>
        <w:pStyle w:val="Heading2"/>
      </w:pPr>
      <w:r>
        <w:t xml:space="preserve">Подпункт 1</w:t>
      </w:r>
    </w:p>
    <w:p>
      <w:r>
        <w:t xml:space="preserve">1) подкормки, создания подкормочных комплексов и подкормочных полей;</w:t>
      </w:r>
    </w:p>
    <w:p>
      <w:pPr>
        <w:pStyle w:val="Heading2"/>
      </w:pPr>
      <w:r>
        <w:t xml:space="preserve">Подпункт 2</w:t>
      </w:r>
    </w:p>
    <w:p>
      <w:r>
        <w:t xml:space="preserve">2) создания искусственных водоемов и водопоев;</w:t>
      </w:r>
    </w:p>
    <w:p>
      <w:pPr>
        <w:pStyle w:val="Heading2"/>
      </w:pPr>
      <w:r>
        <w:t xml:space="preserve">Подпункт 3</w:t>
      </w:r>
    </w:p>
    <w:p>
      <w:r>
        <w:t xml:space="preserve">3) увеличения гнездопригодной площади охотничьих угодий путем посадки защитных ремиз, установки искусственных гнездовий;</w:t>
      </w:r>
    </w:p>
    <w:p>
      <w:pPr>
        <w:pStyle w:val="Heading2"/>
      </w:pPr>
      <w:r>
        <w:t xml:space="preserve">Подпункт 4</w:t>
      </w:r>
    </w:p>
    <w:p>
      <w:r>
        <w:t xml:space="preserve">4) регулирования численности хищных животных;</w:t>
      </w:r>
    </w:p>
    <w:p>
      <w:pPr>
        <w:pStyle w:val="Heading2"/>
      </w:pPr>
      <w:r>
        <w:t xml:space="preserve">Подпункт 5</w:t>
      </w:r>
    </w:p>
    <w:p>
      <w:r>
        <w:t xml:space="preserve">5) организации научных исследований в области охраны и воспроизводства животного мира;</w:t>
      </w:r>
    </w:p>
    <w:p>
      <w:pPr>
        <w:pStyle w:val="Heading2"/>
      </w:pPr>
      <w:r>
        <w:t xml:space="preserve">Подпункт 6</w:t>
      </w:r>
    </w:p>
    <w:p>
      <w:r>
        <w:t xml:space="preserve">6) ограничения хозяйственной деятельности охотохозяйственной организации на определенной территории и в определенные сроки;</w:t>
      </w:r>
    </w:p>
    <w:p>
      <w:pPr>
        <w:pStyle w:val="Heading2"/>
      </w:pPr>
      <w:r>
        <w:t xml:space="preserve">Подпункт 7</w:t>
      </w:r>
    </w:p>
    <w:p>
      <w:r>
        <w:t xml:space="preserve">7) проведения мероприятий по профилактике заболеваний животных;</w:t>
      </w:r>
    </w:p>
    <w:p>
      <w:pPr>
        <w:pStyle w:val="Heading2"/>
      </w:pPr>
      <w:r>
        <w:t xml:space="preserve">Подпункт 8</w:t>
      </w:r>
    </w:p>
    <w:p>
      <w:r>
        <w:t xml:space="preserve">8) разведения животных в неволе и полувольных условиях;</w:t>
      </w:r>
    </w:p>
    <w:p>
      <w:pPr>
        <w:pStyle w:val="Heading2"/>
      </w:pPr>
      <w:r>
        <w:t xml:space="preserve">Подпункт 9</w:t>
      </w:r>
    </w:p>
    <w:p>
      <w:r>
        <w:t xml:space="preserve">9) интродукции объектов животного мира;</w:t>
      </w:r>
    </w:p>
    <w:p>
      <w:pPr>
        <w:pStyle w:val="Heading2"/>
      </w:pPr>
      <w:r>
        <w:t xml:space="preserve">Подпункт 10</w:t>
      </w:r>
    </w:p>
    <w:p>
      <w:r>
        <w:t xml:space="preserve">10) регулирования половозрастного состава.</w:t>
      </w:r>
    </w:p>
    <w:p>
      <w:pPr>
        <w:pStyle w:val="Heading2"/>
      </w:pPr>
      <w:r>
        <w:t xml:space="preserve">Пункт 15</w:t>
      </w:r>
    </w:p>
    <w:p>
      <w:r>
        <w:t xml:space="preserve">15. Перечень работ по воспроизводству животного мира в закрепленных охотничьих хозяйствах предусматривается во внутрихозяйственном охотоустройстве и в плане ведения охотничьего хозяйства.</w:t>
      </w:r>
    </w:p>
    <w:p>
      <w:r>
        <w:t xml:space="preserve">Корректировка плана ведения охотничьего хозяйства вносится по мере необходимости, в случае изменения экономической составляющей и региональных условий.</w:t>
      </w:r>
    </w:p>
    <w:p>
      <w:pPr>
        <w:pStyle w:val="Heading2"/>
      </w:pPr>
      <w:r>
        <w:t xml:space="preserve">Пункт 16</w:t>
      </w:r>
    </w:p>
    <w:p>
      <w:r>
        <w:t xml:space="preserve">16. Мероприятия по воспроизводству животного мира в закрепленных охотничьих хозяйствах проводятся охотохозяйственными организациями за счет собственных средств.</w:t>
      </w:r>
    </w:p>
    <w:p>
      <w:pPr>
        <w:pStyle w:val="Heading2"/>
      </w:pPr>
      <w:r>
        <w:t xml:space="preserve">Глава 6 Пользование животным миром</w:t>
      </w:r>
    </w:p>
    <w:p>
      <w:pPr>
        <w:pStyle w:val="Heading2"/>
      </w:pPr>
      <w:r>
        <w:t xml:space="preserve">Текст</w:t>
      </w:r>
    </w:p>
    <w:p>
      <w:r>
        <w:t xml:space="preserve">Сноска. Заголовок главы 6 в редакции приказа Заместителя Премьер-Министра РК - Министра сельского хозяйства РК от 02.11.2018</w:t>
      </w:r>
    </w:p>
    <w:p>
      <w:pPr>
        <w:pStyle w:val="Heading2"/>
      </w:pPr>
      <w:r>
        <w:t xml:space="preserve">Пункт 17</w:t>
      </w:r>
    </w:p>
    <w:p>
      <w:r>
        <w:t xml:space="preserve">17. Пользование животным миром в закрепленных охотничьих хозяйствах осуществляется охотохозяйственными организациями на основании разрешений , выдаваемых исполнительным органом в соответствии с приказом исполняющего обязанности Министра сельского хозяйства Республики Казахстан от 19 декабря 2014 года № 18-04/675 "Об утверждении Правил выдачи разрешений на пользование животным миром" (зарегистрированный в Реестре государственной регистрации нормативных правовых актов № 10168).</w:t>
      </w:r>
    </w:p>
    <w:p>
      <w:pPr>
        <w:pStyle w:val="Heading2"/>
      </w:pPr>
      <w:r>
        <w:t xml:space="preserve">Пункт 18</w:t>
      </w:r>
    </w:p>
    <w:p>
      <w:r>
        <w:t xml:space="preserve">18. Субъекты охотничьего хозяйства получают право на изъятие объектов животного мира в пределах квоты с момента получения разрешения на пользование животным миром, а другие физические и юридические лица - после получения путевки от субъектов охотничьего хозяйства или заключения договора с ними на охоту.</w:t>
      </w:r>
    </w:p>
    <w:p>
      <w:r>
        <w:t xml:space="preserve">|  | Приложение к приказу исполняющего обязанности Министра сельского хозяйства Республики Казахстан от 29 мая 2015 года № 18-2/501 "Об утверждении Правил ведения охотничьего хозяйства" |</w:t>
      </w:r>
    </w:p>
    <w:p>
      <w:r>
        <w:t xml:space="preserve">|---|---|</w:t>
      </w:r>
    </w:p>
    <w:p>
      <w:pPr>
        <w:pStyle w:val="Heading2"/>
      </w:pPr>
      <w:r>
        <w:t xml:space="preserve">Глава Категории охотничьих хозяйств</w:t>
      </w:r>
    </w:p>
    <w:p>
      <w:pPr>
        <w:pStyle w:val="Heading2"/>
      </w:pPr>
      <w:r>
        <w:t xml:space="preserve">Текст</w:t>
      </w:r>
    </w:p>
    <w:p>
      <w:r>
        <w:t xml:space="preserve">Сноска. Приложение - в редакции приказа Министра экологии, геологии и природных ресурсов РК от 13.05.2021</w:t>
      </w:r>
    </w:p>
    <w:p>
      <w:r>
        <w:t xml:space="preserve">| Категории охотничьих хозяйств | Норма занимаемой площади охотничьего хозяйства (гектаров) | Предельное количество обитаемых видов животных, отнесенных к объектам охоты | Рекомендуемый срок закрепления охотничьих угодий (лет) |</w:t>
      </w:r>
    </w:p>
    <w:p>
      <w:r>
        <w:t xml:space="preserve">|---|---|---|---|</w:t>
      </w:r>
    </w:p>
    <w:p>
      <w:r>
        <w:t xml:space="preserve">| 1 | 2 | 3 | 5 |</w:t>
      </w:r>
    </w:p>
    <w:p>
      <w:r>
        <w:t xml:space="preserve">| 1 категория | не менее 5000 | Виды копытных - не менее 3, виды мелкой и пернатой дичи не менее 5 | 49 |</w:t>
      </w:r>
    </w:p>
    <w:p>
      <w:r>
        <w:t xml:space="preserve">| 2 категория | не менее 15000 | виды копытных - не менее 3, виды мелкой и пернатой дичи не менее 3 | 40 |</w:t>
      </w:r>
    </w:p>
    <w:p>
      <w:r>
        <w:t xml:space="preserve">| 3 категория | не менее 20000 | виды копытных - не менее 2, виды мелкой и пернатой дичи не менее 3 | 30 |</w:t>
      </w:r>
    </w:p>
    <w:p>
      <w:r>
        <w:t xml:space="preserve">| 4 категория | не менее 20000 | виды копытных - не менее 1, виды мелкой и пернатой дичи не менее 3 | 20 |</w:t>
      </w:r>
    </w:p>
    <w:p>
      <w:r>
        <w:t xml:space="preserve">| 5 категория | не менее 10000 | виды мелкой и пернатой дичи не менее 3 | 10 |</w:t>
      </w:r>
    </w:p>
    <w:p>
      <w:r>
        <w:t xml:space="preserve">Источник: Эталонный контрольный банк НПА Республики Казахстан. При расхождении приоритет имеет официальная публикация.</w:t>
      </w:r>
    </w:p>
    <w:sectPr>
      <w:pgSz w:w="11906" w:h="16838"/>
      <w:pgMar w:top="1134" w:right="851" w:bottom="1134" w:left="1701"/>
    </w:sectPr>
  </w:body>
</w:document>
</file>