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эксплуатации внутренних водных путей</w:t>
      </w:r>
    </w:p>
    <w:p>
      <w:r>
        <w:t xml:space="preserve">Правила, Приказ. Министерство по инвестициям и развитию Республики Казахстан (реорганизовано Указом Президента РК от 26.12.2018 г. № 806 путем его преобразования в Министерству индустрии и инфраструктурного развития Республики Казахстан). от 24.02.2015. № 89430. редакция от 24.02.2015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26-6) пункта 1 статьи 9 Закона Республики Казахстан от 6 июля 2004 года "О внутреннем водном транспорте" ПРИКАЗЫВАЮ 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эксплуатации внутренних водных путей.</w:t>
      </w:r>
    </w:p>
    <w:p>
      <w:pPr>
        <w:pStyle w:val="Heading2"/>
      </w:pPr>
      <w:r>
        <w:t xml:space="preserve">Пункт 2</w:t>
      </w:r>
    </w:p>
    <w:p>
      <w:r>
        <w:t xml:space="preserve">2. Комитету транспорта Министерства по инвестициям и развитию Республики Казахстан (Асавбаев А.А.)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течении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 республиканского государственного предприятия на праве хозяйственного ведения "Республиканский центр правовой информации Министерства юстиции Республики Казахстан";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пункта 2 настоящего приказа.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|  |</w:t>
      </w:r>
    </w:p>
    <w:p>
      <w:r>
        <w:t xml:space="preserve">|---|---|</w:t>
      </w:r>
    </w:p>
    <w:p>
      <w:r>
        <w:t xml:space="preserve">| Министра по инвестициям и |  |</w:t>
      </w:r>
    </w:p>
    <w:p>
      <w:r>
        <w:t xml:space="preserve">| развитию Республики Казахстан | Ж. Касымбек |</w:t>
      </w:r>
    </w:p>
    <w:p>
      <w:pPr>
        <w:pStyle w:val="Heading2"/>
      </w:pPr>
      <w:r>
        <w:t xml:space="preserve">Текст</w:t>
      </w:r>
    </w:p>
    <w:p>
      <w:r>
        <w:t xml:space="preserve">"СОГЛАСОВАН"</w:t>
      </w:r>
    </w:p>
    <w:p>
      <w:pPr>
        <w:pStyle w:val="Heading2"/>
      </w:pPr>
      <w:r>
        <w:t xml:space="preserve">Текст</w:t>
      </w:r>
    </w:p>
    <w:p>
      <w:r>
        <w:t xml:space="preserve">Министр сельского хозяйства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 Мамытбеков А.С.</w:t>
      </w:r>
    </w:p>
    <w:p>
      <w:pPr>
        <w:pStyle w:val="Heading2"/>
      </w:pPr>
      <w:r>
        <w:t xml:space="preserve">Текст</w:t>
      </w:r>
    </w:p>
    <w:p>
      <w:r>
        <w:t xml:space="preserve">30 марта 2015 года</w:t>
      </w:r>
    </w:p>
    <w:p>
      <w:r>
        <w:t xml:space="preserve">|  | Утверждены приказом исполняющего обязанности Министра по инвестициям и развитию Республики Казахстан от 24 февраля 2015 года № 161 |</w:t>
      </w:r>
    </w:p>
    <w:p>
      <w:r>
        <w:t xml:space="preserve">|---|---|</w:t>
      </w:r>
    </w:p>
    <w:p>
      <w:pPr>
        <w:pStyle w:val="Heading2"/>
      </w:pPr>
      <w:r>
        <w:t xml:space="preserve">Глава Правила эксплуатации внутренних водных путей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эксплуатации внутренних водных путей (далее - Правила) разработаны в соответствии с подпунктом 26-6) пункта 1 статьи 9 Законом Республики Казахстан от 6 июля 2004 года "О внутреннем водном транспорте" (далее – Закон) и определяют порядок эксплуатации внутренних водных путей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Внутренние водные пути предназначены для перевозки пассажиров, багажа, грузов и почтовых отправлений, буксировки судов, плотов и иных плавучих объектов, проведения поисков, разведки и добычи полезных ископаемых, рыбных и иных промыслов, строительных, путевых, гидротехнических, подводно-технических и других подобных работ, лоцманской проводки судов , спасательных операций, осуществления мероприятий по охране водных объектов, защите их от загрязнения и засорения, подъема затонувшего имущества, санитарного и другого контроля, проведения научных исследований, учебных, спортивных, культурных и иных целей.</w:t>
      </w:r>
    </w:p>
    <w:p>
      <w:pPr>
        <w:pStyle w:val="Heading2"/>
      </w:pPr>
      <w:r>
        <w:t xml:space="preserve">Пункт 3</w:t>
      </w:r>
    </w:p>
    <w:p>
      <w:r>
        <w:t xml:space="preserve">3. В настоящих Правилах используются понятия, предусмотренные Законом и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земснаряд - судно, предназначенное для проведения дноуглубительных работ в целях обеспечения безопасного плавания судов и иных плавучих объектов;</w:t>
      </w:r>
    </w:p>
    <w:p>
      <w:pPr>
        <w:pStyle w:val="Heading2"/>
      </w:pPr>
      <w:r>
        <w:t xml:space="preserve">Подпункт 2</w:t>
      </w:r>
    </w:p>
    <w:p>
      <w:r>
        <w:t xml:space="preserve">2) лимитирующий перекат - участок судового хода с определенными ограничениями по габаритам и осадке для судов и составов, требующий проведения путевых работ;</w:t>
      </w:r>
    </w:p>
    <w:p>
      <w:pPr>
        <w:pStyle w:val="Heading2"/>
      </w:pPr>
      <w:r>
        <w:t xml:space="preserve">Подпункт 3</w:t>
      </w:r>
    </w:p>
    <w:p>
      <w:r>
        <w:t xml:space="preserve">3) навигационное ограждение - средства навигационного оборудования, выставляемые на внутренних водных путях для указания их сложности, габаритов судового хода, наличия подводных препятствий и обеспечивающие безопасность судоходства;</w:t>
      </w:r>
    </w:p>
    <w:p>
      <w:pPr>
        <w:pStyle w:val="Heading2"/>
      </w:pPr>
      <w:r>
        <w:t xml:space="preserve">Подпункт 4</w:t>
      </w:r>
    </w:p>
    <w:p>
      <w:r>
        <w:t xml:space="preserve">4) промерные работы - измерение глубины судового хода;</w:t>
      </w:r>
    </w:p>
    <w:p>
      <w:pPr>
        <w:pStyle w:val="Heading2"/>
      </w:pPr>
      <w:r>
        <w:t xml:space="preserve">Подпункт 5</w:t>
      </w:r>
    </w:p>
    <w:p>
      <w:r>
        <w:t xml:space="preserve">5) план русловой партии - план изыскательских работ, который включает в себя гидрографические, геодезические, геологические, дноуглубительные, научно-изыскательские и другие работы на определенный период, утверждаемый предприятиями уполномоченного органа (далее - предприятия);</w:t>
      </w:r>
    </w:p>
    <w:p>
      <w:pPr>
        <w:pStyle w:val="Heading2"/>
      </w:pPr>
      <w:r>
        <w:t xml:space="preserve">Подпункт 6</w:t>
      </w:r>
    </w:p>
    <w:p>
      <w:r>
        <w:t xml:space="preserve">6) тральные работы - работы по очистке или проверке заданных габаритов внутренних водных путей при помощи трала;</w:t>
      </w:r>
    </w:p>
    <w:p>
      <w:pPr>
        <w:pStyle w:val="Heading2"/>
      </w:pPr>
      <w:r>
        <w:t xml:space="preserve">Глава 2. Порядок эксплуатации внутренних водных путей Параграф 1. Содержание внутренних водных путей</w:t>
      </w:r>
    </w:p>
    <w:p>
      <w:pPr>
        <w:pStyle w:val="Heading2"/>
      </w:pPr>
      <w:r>
        <w:t xml:space="preserve">Пункт 4</w:t>
      </w:r>
    </w:p>
    <w:p>
      <w:r>
        <w:t xml:space="preserve">4. Содержание внутренних водных путей осуществляется в целях обеспечения безопасного движения судов и их составов.</w:t>
      </w:r>
    </w:p>
    <w:p>
      <w:pPr>
        <w:pStyle w:val="Heading2"/>
      </w:pPr>
      <w:r>
        <w:t xml:space="preserve">Пункт 5</w:t>
      </w:r>
    </w:p>
    <w:p>
      <w:r>
        <w:t xml:space="preserve">5. Содержание внутренних водных путей не требуется при условиях:</w:t>
      </w:r>
    </w:p>
    <w:p>
      <w:pPr>
        <w:pStyle w:val="Heading2"/>
      </w:pPr>
      <w:r>
        <w:t xml:space="preserve">Подпункт 1</w:t>
      </w:r>
    </w:p>
    <w:p>
      <w:r>
        <w:t xml:space="preserve">1) если оба берега судоходного водного пути являются ходовыми и движение судов возможно по всей ширине русла (в этом случае навигационные знаки могут не выставляться);</w:t>
      </w:r>
    </w:p>
    <w:p>
      <w:pPr>
        <w:pStyle w:val="Heading2"/>
      </w:pPr>
      <w:r>
        <w:t xml:space="preserve">Подпункт 2</w:t>
      </w:r>
    </w:p>
    <w:p>
      <w:r>
        <w:t xml:space="preserve">2) если по всей протяженности внутреннего водного пути отсутствуют лимитирующие перекаты и не имеется ограничений по габаритам и осадке для судов и составов.</w:t>
      </w:r>
    </w:p>
    <w:p>
      <w:pPr>
        <w:pStyle w:val="Heading2"/>
      </w:pPr>
      <w:r>
        <w:t xml:space="preserve">Пункт 6</w:t>
      </w:r>
    </w:p>
    <w:p>
      <w:r>
        <w:t xml:space="preserve">6. Проведение путевых работ , в том числе работ по устройству и содержанию рейдов в портах, находящихся в государственной собственности, и подходов к причалам этих портов, а также содержание судоходных гидротехнических сооружений осуществляются предприятиями.</w:t>
      </w:r>
    </w:p>
    <w:p>
      <w:pPr>
        <w:pStyle w:val="Heading2"/>
      </w:pPr>
      <w:r>
        <w:t xml:space="preserve">Пункт 7</w:t>
      </w:r>
    </w:p>
    <w:p>
      <w:r>
        <w:t xml:space="preserve">7. Проведение путевых работ на подходах к портам (не указанным в пункте 6 настоящих Правил), а также в пунктах отстоя осуществляется их владельцами по согласованию с уполномоченным органом.</w:t>
      </w:r>
    </w:p>
    <w:p>
      <w:pPr>
        <w:pStyle w:val="Heading2"/>
      </w:pPr>
      <w:r>
        <w:t xml:space="preserve">Пункт 8</w:t>
      </w:r>
    </w:p>
    <w:p>
      <w:r>
        <w:t xml:space="preserve">8. Работы по содержанию внутренних водных путей и судоходных гидротехнических сооружений на них осуществляются без специальных разрешений на проведение путевых работ.</w:t>
      </w:r>
    </w:p>
    <w:p>
      <w:pPr>
        <w:pStyle w:val="Heading2"/>
      </w:pPr>
      <w:r>
        <w:t xml:space="preserve">Пункт 9</w:t>
      </w:r>
    </w:p>
    <w:p>
      <w:r>
        <w:t xml:space="preserve">9. Разработка лимитирующих перекатов земснарядами производится только по планам русловых партий, не допуская просадки русла реки.</w:t>
      </w:r>
    </w:p>
    <w:p>
      <w:pPr>
        <w:pStyle w:val="Heading2"/>
      </w:pPr>
      <w:r>
        <w:t xml:space="preserve">Пункт 10</w:t>
      </w:r>
    </w:p>
    <w:p>
      <w:r>
        <w:t xml:space="preserve">10. Надзор за состоянием внутренних водных путей осуществляется территориальными подразделениями уполномоченного органа (далее - территориальные подразделения) путем регулярных осмотров внутренних водных путей, не менее двух раз в навигацию.</w:t>
      </w:r>
    </w:p>
    <w:p>
      <w:pPr>
        <w:pStyle w:val="Heading2"/>
      </w:pPr>
      <w:r>
        <w:t xml:space="preserve">Параграф 2 Габариты внутренних водных путей</w:t>
      </w:r>
    </w:p>
    <w:p>
      <w:pPr>
        <w:pStyle w:val="Heading2"/>
      </w:pPr>
      <w:r>
        <w:t xml:space="preserve">Пункт 11</w:t>
      </w:r>
    </w:p>
    <w:p>
      <w:r>
        <w:t xml:space="preserve">11. На внутренних водных путях предприятиями обеспечиваются гарантированные габариты судового хода (глубина, ширина, радиус закругления его оси).</w:t>
      </w:r>
    </w:p>
    <w:p>
      <w:pPr>
        <w:pStyle w:val="Heading2"/>
      </w:pPr>
      <w:r>
        <w:t xml:space="preserve">Пункт 12</w:t>
      </w:r>
    </w:p>
    <w:p>
      <w:r>
        <w:t xml:space="preserve">12. Габариты судов (длина, ширина, надводный габарит, осадка) и их скорость должны соответствовать техническим данным водного пути и судоходных шлюзов согласно приложению к настоящим Правилам.</w:t>
      </w:r>
    </w:p>
    <w:p>
      <w:pPr>
        <w:pStyle w:val="Heading2"/>
      </w:pPr>
      <w:r>
        <w:t xml:space="preserve">Параграф 3 Навигационное ограждение внутренних водных путей</w:t>
      </w:r>
    </w:p>
    <w:p>
      <w:pPr>
        <w:pStyle w:val="Heading2"/>
      </w:pPr>
      <w:r>
        <w:t xml:space="preserve">Пункт 13</w:t>
      </w:r>
    </w:p>
    <w:p>
      <w:r>
        <w:t xml:space="preserve">13. Навигационное ограждение внутренних водных путей предназначено для создания безопасных условий плавания судов и обеспечения сохранности искусственных сооружений на внутренних водных путях.</w:t>
      </w:r>
    </w:p>
    <w:p>
      <w:pPr>
        <w:pStyle w:val="Heading2"/>
      </w:pPr>
      <w:r>
        <w:t xml:space="preserve">Пункт 14</w:t>
      </w:r>
    </w:p>
    <w:p>
      <w:r>
        <w:t xml:space="preserve">14. Содержание навигационного ограждения внутренних водных путей выполняется предприятиями и заключается в проведении работ по выставлению и обслуживанию средств навигационного оборудования. Предприятия извещают судоводителей о состоянии и изменении путевых условий.</w:t>
      </w:r>
    </w:p>
    <w:p>
      <w:pPr>
        <w:pStyle w:val="Heading2"/>
      </w:pPr>
      <w:r>
        <w:t xml:space="preserve">Пункт 15</w:t>
      </w:r>
    </w:p>
    <w:p>
      <w:r>
        <w:t xml:space="preserve">15. Устройство и содержание знаков (стационарных и плавучих) и огней судоходной сигнализации на железнодорожных, автодорожных, коммунальных и наплавных мостах, подводных и воздушных переходах, водозаборах и водовыпусках, предназначенных для их сохранности и создания безопасных условий плавания судов, производятся владельцами этих сооружений.</w:t>
      </w:r>
    </w:p>
    <w:p>
      <w:pPr>
        <w:pStyle w:val="Heading2"/>
      </w:pPr>
      <w:r>
        <w:t xml:space="preserve">Пункт 16</w:t>
      </w:r>
    </w:p>
    <w:p>
      <w:r>
        <w:t xml:space="preserve">16. Устройство и содержание навигационного ограждения на водных подходах и акваториях портов, причалов, затонов, рейдов и других участков водных путей обособленного пользования производятся владельцами этих искусственных сооружений и организациями, в пользовании которых находятся эти акватории и участки водных путей по согласованию с уполномоченным органом.</w:t>
      </w:r>
    </w:p>
    <w:p>
      <w:pPr>
        <w:pStyle w:val="Heading2"/>
      </w:pPr>
      <w:r>
        <w:t xml:space="preserve">Пункт 17</w:t>
      </w:r>
    </w:p>
    <w:p>
      <w:r>
        <w:t xml:space="preserve">17. Навигационные огни на береговых и плавучих знаках должны действовать при горизонтальной освещенности, составляющей не менее 40-100 люкс, что соответствует середине гражданских сумерек (при положении солнца на 3 градуса ниже горизонта).</w:t>
      </w:r>
    </w:p>
    <w:p>
      <w:r>
        <w:t xml:space="preserve">Навигационные огни на сооружениях должны действовать в период ограниченной видимости.</w:t>
      </w:r>
    </w:p>
    <w:p>
      <w:pPr>
        <w:pStyle w:val="Heading2"/>
      </w:pPr>
      <w:r>
        <w:t xml:space="preserve">Пункт 18</w:t>
      </w:r>
    </w:p>
    <w:p>
      <w:r>
        <w:t xml:space="preserve">18. Не допускаются пользование сигнальными знаками водного пути для ошвартовки или вывода судов или плавучих средств, а также повреждение этих знаков.</w:t>
      </w:r>
    </w:p>
    <w:p>
      <w:pPr>
        <w:pStyle w:val="Heading2"/>
      </w:pPr>
      <w:r>
        <w:t xml:space="preserve">Пункт 19</w:t>
      </w:r>
    </w:p>
    <w:p>
      <w:r>
        <w:t xml:space="preserve">19. Каждый судоводитель извещает соответствующее предприятие о всех неисправностях, замеченных на сигнальных знаках пути (потухший огонь, перемещение бакена, буя, повреждение знака).</w:t>
      </w:r>
    </w:p>
    <w:p>
      <w:pPr>
        <w:pStyle w:val="Heading2"/>
      </w:pPr>
      <w:r>
        <w:t xml:space="preserve">Пункт 20</w:t>
      </w:r>
    </w:p>
    <w:p>
      <w:r>
        <w:t xml:space="preserve">20. Предприятия составляют акты на все случаи повреждения ограждения внутренних водных путей, порчи перекатов вследствие несоответствия габаритов составов и объявленных габаритов пути и направляют их в территориальные подразделения, которые принимают необходимые меры по их устранению.</w:t>
      </w:r>
    </w:p>
    <w:p>
      <w:r>
        <w:t xml:space="preserve">|  | Приложение к Правилам эксплуатации внутренних водных путей |</w:t>
      </w:r>
    </w:p>
    <w:p>
      <w:r>
        <w:t xml:space="preserve">|---|---|</w:t>
      </w:r>
    </w:p>
    <w:p>
      <w:pPr>
        <w:pStyle w:val="Heading2"/>
      </w:pPr>
      <w:r>
        <w:t xml:space="preserve">Глава Соотношение габаритов судов и водного пути Минимальные запасы воды (в сантиметрах), под днищем на внутренних водных путях</w:t>
      </w:r>
    </w:p>
    <w:p>
      <w:r>
        <w:t xml:space="preserve">| Глубина водного пути | Для всех судов |  |</w:t>
      </w:r>
    </w:p>
    <w:p>
      <w:r>
        <w:t xml:space="preserve">|---|---|---|</w:t>
      </w:r>
    </w:p>
    <w:p>
      <w:r>
        <w:t xml:space="preserve">| При песчаном и галечном грунте | При каменистом грунте |  |</w:t>
      </w:r>
    </w:p>
    <w:p>
      <w:r>
        <w:t xml:space="preserve">| Менее 150 | 10 | 15 |</w:t>
      </w:r>
    </w:p>
    <w:p>
      <w:r>
        <w:t xml:space="preserve">| 150-300 | 15 | 20 |</w:t>
      </w:r>
    </w:p>
    <w:p>
      <w:r>
        <w:t xml:space="preserve">| Более 300 | 20 | 25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Значение запасов показывает разницу между объявленной глубиной на лимитирующем перекате и наибольшей осадкой судна.</w:t>
      </w:r>
    </w:p>
    <w:p>
      <w:pPr>
        <w:pStyle w:val="Heading2"/>
      </w:pPr>
      <w:r>
        <w:t xml:space="preserve">Пункт 2</w:t>
      </w:r>
    </w:p>
    <w:p>
      <w:r>
        <w:t xml:space="preserve">2. При прохождении лимитирующих по глубине перекатов судоводителями учитываются явления просадки и принимаются меры для ее уменьшения путем снижения скорости судна или привлечения вспомогательного буксировщика, при недостаточности этих мер - путем соответствующего уменьшения осадки (загрузки).</w:t>
      </w:r>
    </w:p>
    <w:p>
      <w:pPr>
        <w:pStyle w:val="Heading2"/>
      </w:pPr>
      <w:r>
        <w:t xml:space="preserve">Глава Запасы воды (в сантиметрах) под днищем в судоходных шлюзах</w:t>
      </w:r>
    </w:p>
    <w:p>
      <w:r>
        <w:t xml:space="preserve">| Глубина заложения порога | Запас воды на пороге в судоходном шлюзе каменном или бетонном |</w:t>
      </w:r>
    </w:p>
    <w:p>
      <w:r>
        <w:t xml:space="preserve">|---|---|</w:t>
      </w:r>
    </w:p>
    <w:p>
      <w:r>
        <w:t xml:space="preserve">| До 100 | - |</w:t>
      </w:r>
    </w:p>
    <w:p>
      <w:r>
        <w:t xml:space="preserve">| Свыше 100 | - |</w:t>
      </w:r>
    </w:p>
    <w:p>
      <w:r>
        <w:t xml:space="preserve">| До 250 | 25 |</w:t>
      </w:r>
    </w:p>
    <w:p>
      <w:r>
        <w:t xml:space="preserve">| Свыше 250 | 40 |</w:t>
      </w:r>
    </w:p>
    <w:p>
      <w:pPr>
        <w:pStyle w:val="Heading2"/>
      </w:pPr>
      <w:r>
        <w:t xml:space="preserve">Глава Запасы по ширине и длине судоходного шлюза</w:t>
      </w:r>
    </w:p>
    <w:p>
      <w:pPr>
        <w:pStyle w:val="Heading2"/>
      </w:pPr>
      <w:r>
        <w:t xml:space="preserve">Текст</w:t>
      </w:r>
    </w:p>
    <w:p>
      <w:r>
        <w:t xml:space="preserve">В судоходном шлюзе шириной до 10 метров запас между бортом судна (по наибольшей ширине) и стенкой судоходного шлюза должен быть 0,2 метра со стороны каждого борта в судоходном шлюзе шириной до 18 метров - соответственно 0,4 метра, свыше 18 метров - 0,5 метра.</w:t>
      </w:r>
    </w:p>
    <w:p>
      <w:pPr>
        <w:pStyle w:val="Heading2"/>
      </w:pPr>
      <w:r>
        <w:t xml:space="preserve">Текст</w:t>
      </w:r>
    </w:p>
    <w:p>
      <w:r>
        <w:t xml:space="preserve">Длина одиночного судна (состава судов) при прохождении судоходного шлюза должна быть меньше полезной длины его камеры: в судоходном шлюзе длиной до 50 метров - на 1 метр, длиной от 51 до 100 метров - на 2 метра, от 101 до 150 метров - на 4 метра, от 151 до 210 метра - на 6 метров и в судоходном шлюзе длиной свыше 210 метров - на 10 метров.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