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22 июня 2005 года № 607 "Вопросы Министерства внутренних дел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14.07.2026. № 227711. редакция от 14.07.2026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22 июня 2005 года № 607 "Вопросы Министерства внутренних дел Республики Казахстан" следующие изменения и дополнения:</w:t>
      </w:r>
    </w:p>
    <w:p>
      <w:r>
        <w:t xml:space="preserve">в Положении о Министерстве внутренних дел Республики Казахстан, утвержденном указанным постановлением:</w:t>
      </w:r>
    </w:p>
    <w:p>
      <w:r>
        <w:t xml:space="preserve">в пункте 15 :</w:t>
      </w:r>
    </w:p>
    <w:p>
      <w:r>
        <w:t xml:space="preserve">подпункт 13) изложить в следующей редакции:</w:t>
      </w:r>
    </w:p>
    <w:p>
      <w:r>
        <w:t xml:space="preserve">"13) участвует в обеспечении режима военного положения, в случаях его введения на территории Республики Казахстан или в отдельных ее местностях, в соответствии с законодательством Республики Казахстан о военном положении;";</w:t>
      </w:r>
    </w:p>
    <w:p>
      <w:r>
        <w:t xml:space="preserve">дополнить подпунктом 13-1) следующего содержания:</w:t>
      </w:r>
    </w:p>
    <w:p>
      <w:r>
        <w:t xml:space="preserve">"13-1) предупреждает и осуществляет ликвидацию чрезвычайных ситуаций, вызванных массовыми беспорядками; межнациональными и межконфессиональными конфликтами; блокадой или захватом отдельных местностей, особо важных и стратегических объектов; организацией и деятельностью незаконных вооруженных формирований;";</w:t>
      </w:r>
    </w:p>
    <w:p>
      <w:r>
        <w:t xml:space="preserve">дополнить подпунктами 18-1), 18-2), 18-3), 18-4), 18-5), 18-6), 18-7), 18-8), 18-9), 18-10) и 18-11) следующего содержания:</w:t>
      </w:r>
    </w:p>
    <w:p>
      <w:r>
        <w:t xml:space="preserve">"18-1) разрабатывает и утверждает методику определения перечня и расчета объемов товаров, необходимых для выполнения мобилизационного заказа в соответствующей сфере, по согласованию с уполномоченным органом в области мобилизационной подготовки;</w:t>
      </w:r>
    </w:p>
    <w:p>
      <w:pPr>
        <w:pStyle w:val="Heading2"/>
      </w:pPr>
      <w:r>
        <w:t xml:space="preserve">Подпункт 18-2</w:t>
      </w:r>
    </w:p>
    <w:p>
      <w:r>
        <w:t xml:space="preserve">18-2) проводит анализ потребностей организаций, имеющих мобилизационный заказ в соответствии с методикой определения перечня и расчета объемов товаров, необходимых для выполнения мобилизационного заказа в соответствующей сфере, для формирования номенклатуры и объемов хранения материальных ценностей государственного материального резерва в части мобилизационного резерва;</w:t>
      </w:r>
    </w:p>
    <w:p>
      <w:pPr>
        <w:pStyle w:val="Heading2"/>
      </w:pPr>
      <w:r>
        <w:t xml:space="preserve">Подпункт 18-3</w:t>
      </w:r>
    </w:p>
    <w:p>
      <w:r>
        <w:t xml:space="preserve">18-3) вносит предложения по номенклатуре и объемам хранения материальных ценностей государственного материального резерва в части мобилизационного резерва в уполномоченный орган в области государственного материального резерва;</w:t>
      </w:r>
    </w:p>
    <w:p>
      <w:pPr>
        <w:pStyle w:val="Heading2"/>
      </w:pPr>
      <w:r>
        <w:t xml:space="preserve">Подпункт 18-4</w:t>
      </w:r>
    </w:p>
    <w:p>
      <w:r>
        <w:t xml:space="preserve">18-4) по согласованию с уполномоченным органом в области государственного материального резерва вносит предложения в Правительство Республики Казахстан о разбронировании материальных ценностей государственного резерва для оказания гуманитарной помощи;</w:t>
      </w:r>
    </w:p>
    <w:p>
      <w:pPr>
        <w:pStyle w:val="Heading2"/>
      </w:pPr>
      <w:r>
        <w:t xml:space="preserve">Подпункт 18-5</w:t>
      </w:r>
    </w:p>
    <w:p>
      <w:r>
        <w:t xml:space="preserve">18-5) по согласованию с уполномоченными органами в области государственного материального резерва и мобилизационной подготовки принимает решение о выпуске материальных ценностей из мобилизационного резерва в порядке заимствования;</w:t>
      </w:r>
    </w:p>
    <w:p>
      <w:pPr>
        <w:pStyle w:val="Heading2"/>
      </w:pPr>
      <w:r>
        <w:t xml:space="preserve">Подпункт 18-6</w:t>
      </w:r>
    </w:p>
    <w:p>
      <w:r>
        <w:t xml:space="preserve">18-6) вносит предложения в уполномоченный орган в области государственного материального резерва по номенклатуре и объемам хранения материальных ценностей государственного резерва и о разбронировании материальных ценностей государственного резерва при изменении номенклатуры;</w:t>
      </w:r>
    </w:p>
    <w:p>
      <w:pPr>
        <w:pStyle w:val="Heading2"/>
      </w:pPr>
      <w:r>
        <w:t xml:space="preserve">Подпункт 18-7</w:t>
      </w:r>
    </w:p>
    <w:p>
      <w:r>
        <w:t xml:space="preserve">18-7) размещает заказы на поставку материальных ценностей мобилизационного резерва в соответствии с номенклатурой и объемами хранения материальных ценностей государственного резерва;</w:t>
      </w:r>
    </w:p>
    <w:p>
      <w:pPr>
        <w:pStyle w:val="Heading2"/>
      </w:pPr>
      <w:r>
        <w:t xml:space="preserve">Подпункт 18-8</w:t>
      </w:r>
    </w:p>
    <w:p>
      <w:r>
        <w:t xml:space="preserve">18-8) принимает решение о выпуске материальных ценностей из мобилизационного резерва в порядке освежения;</w:t>
      </w:r>
    </w:p>
    <w:p>
      <w:pPr>
        <w:pStyle w:val="Heading2"/>
      </w:pPr>
      <w:r>
        <w:t xml:space="preserve">Подпункт 18-9</w:t>
      </w:r>
    </w:p>
    <w:p>
      <w:r>
        <w:t xml:space="preserve">18-9) по решению уполномоченного органа по управлению государственным имуществом по согласованию с государственными органами – получателями и уполномоченным органом в области государственного материального резерва осуществляет передачу на безвозмездной основе материальных ценностей мобилизационного резерва, подлежащих освежению, и разбронированных материальных ценностей при изменении номенклатуры на баланс других государственных органов;</w:t>
      </w:r>
    </w:p>
    <w:p>
      <w:pPr>
        <w:pStyle w:val="Heading2"/>
      </w:pPr>
      <w:r>
        <w:t xml:space="preserve">Подпункт 18-10</w:t>
      </w:r>
    </w:p>
    <w:p>
      <w:r>
        <w:t xml:space="preserve">18-10) по согласованию с уполномоченным органом в области государственного материального резерва принимает решения о перемещении материальных ценностей мобилизационного резерва;</w:t>
      </w:r>
    </w:p>
    <w:p>
      <w:pPr>
        <w:pStyle w:val="Heading2"/>
      </w:pPr>
      <w:r>
        <w:t xml:space="preserve">Подпункт 18-11</w:t>
      </w:r>
    </w:p>
    <w:p>
      <w:r>
        <w:t xml:space="preserve">18-11) организует хранение и освежение материальных ценностей мобилизационного резерва;";</w:t>
      </w:r>
    </w:p>
    <w:p>
      <w:r>
        <w:t xml:space="preserve">подпункт 26) изложить в следующей редакции:</w:t>
      </w:r>
    </w:p>
    <w:p>
      <w:r>
        <w:t xml:space="preserve">"26) обеспечивает создание и функционирование республиканской цифровой системы в области охраны общественного порядка и борьбы с преступностью;";</w:t>
      </w:r>
    </w:p>
    <w:p>
      <w:r>
        <w:t xml:space="preserve">подпункт 49) изложить в следующей редакции:</w:t>
      </w:r>
    </w:p>
    <w:p>
      <w:r>
        <w:t xml:space="preserve">"49) разрабатывает и утверждает правила по организации деятельности подразделений органов внутренних дел Республики Казахстан по борьбе с бытовым насилием и защите женщин от насилия;";</w:t>
      </w:r>
    </w:p>
    <w:p>
      <w:r>
        <w:t xml:space="preserve">дополнить подпунктом 83-7) следующего содержания:</w:t>
      </w:r>
    </w:p>
    <w:p>
      <w:r>
        <w:t xml:space="preserve">"83-7) разрабатывает и утверждает форму и Правила оформления, заполнения, учета, хранения, передачи, расходования, уничтожения формуляра для изготовления документов, удостоверяющих личность (кроме удостоверения беженца);";</w:t>
      </w:r>
    </w:p>
    <w:p>
      <w:r>
        <w:t xml:space="preserve">дополнить подпунктом 92-4) следующего содержания:</w:t>
      </w:r>
    </w:p>
    <w:p>
      <w:r>
        <w:t xml:space="preserve">"92-4) разрабатывает и утверждает положение о берете стального цвета и нагрудном знаке, а также инструкцию о проведении квалификационных испытаний на право их ношения;";</w:t>
      </w:r>
    </w:p>
    <w:p>
      <w:r>
        <w:t xml:space="preserve">подпункт 121) изложить в следующей редакции:</w:t>
      </w:r>
    </w:p>
    <w:p>
      <w:r>
        <w:t xml:space="preserve">"121) создает, использует и совершенствует цифровые и информационно- аналитические системы;";</w:t>
      </w:r>
    </w:p>
    <w:p>
      <w:r>
        <w:t xml:space="preserve">подпункт 121-1) изложить в следующей редакции:</w:t>
      </w:r>
    </w:p>
    <w:p>
      <w:r>
        <w:t xml:space="preserve">"121-1) осуществляет мероприятия по организации и обеспечению интеграции цифровых систем в сфере дорожного движения;";</w:t>
      </w:r>
    </w:p>
    <w:p>
      <w:r>
        <w:t xml:space="preserve">подпункт 123) изложить в следующей редакции:</w:t>
      </w:r>
    </w:p>
    <w:p>
      <w:r>
        <w:t xml:space="preserve">"123) обеспечивает доступ подразделениям органов внутренних дел к цифровым ресурсам Министерства с соблюдением требований законодательства и кибербезопасности при обработке персональных данных;";</w:t>
      </w:r>
    </w:p>
    <w:p>
      <w:r>
        <w:t xml:space="preserve">подпункт 146) изложить в следующей редакции:</w:t>
      </w:r>
    </w:p>
    <w:p>
      <w:r>
        <w:t xml:space="preserve">"146) разрабатывает и утверждает инструкцию по проведению квалификационных испытаний на право ношения берета крапового цвета со знаком различия к нему;";</w:t>
      </w:r>
    </w:p>
    <w:p>
      <w:r>
        <w:t xml:space="preserve">подпункт 185) изложить в следующей редакции:</w:t>
      </w:r>
    </w:p>
    <w:p>
      <w:r>
        <w:t xml:space="preserve">"185) разрабатывает и утверждает правила организации питания для подозреваемых, обвиняемых и осужденных, находящихся в учреждениях уголовно-исполнительной системы;";</w:t>
      </w:r>
    </w:p>
    <w:p>
      <w:r>
        <w:t xml:space="preserve">подпункт 214) изложить в следующей редакции:</w:t>
      </w:r>
    </w:p>
    <w:p>
      <w:r>
        <w:t xml:space="preserve">"214) создает и эксплуатирует государственные цифровые системы в сфере дорожного движения и обеспечения его безопасности;";</w:t>
      </w:r>
    </w:p>
    <w:p>
      <w:r>
        <w:t xml:space="preserve">подпункт 313) изложить в следующей редакции:</w:t>
      </w:r>
    </w:p>
    <w:p>
      <w:r>
        <w:t xml:space="preserve">"313) разрабатывает и утверждает правила создания, использования и совершенствования цифровых систем, цифровых и телекоммуникационных сетей, сетей связи;";</w:t>
      </w:r>
    </w:p>
    <w:p>
      <w:r>
        <w:t xml:space="preserve">подпункт 313-1) изложить в следующей редакции:</w:t>
      </w:r>
    </w:p>
    <w:p>
      <w:r>
        <w:t xml:space="preserve">"313-1) разрабатывает и утверждает инструкцию по работе с цифровыми системами, мобильными приложениями и мобильными сервисами органов внутренних дел;";</w:t>
      </w:r>
    </w:p>
    <w:p>
      <w:r>
        <w:t xml:space="preserve">подпункт 320) изложить в следующей редакции:</w:t>
      </w:r>
    </w:p>
    <w:p>
      <w:r>
        <w:t xml:space="preserve">"320) разрабатывает и утверждает правила деятельности жилищных комиссий и работы цифровой системы органов внутренних дел Республики Казахстан;".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опубликования, за исключением:</w:t>
      </w:r>
    </w:p>
    <w:p>
      <w:pPr>
        <w:pStyle w:val="Heading2"/>
      </w:pPr>
      <w:r>
        <w:t xml:space="preserve">Подпункт 1</w:t>
      </w:r>
    </w:p>
    <w:p>
      <w:r>
        <w:t xml:space="preserve">1) абзацев двадцатого, двадцать первого, двадцать восьмого, двадцать девятого, тридцатого, тридцать первого, тридцать второго, тридцать третьего, тридцать восьмого, тридцать девятого, сорокового, сорок первого, сорок второго, сорок третьего, сорок четвертого и сорок пятого пункта 1 настоящего постановления, которые вводятся в действие с 12 июля 2026 года;</w:t>
      </w:r>
    </w:p>
    <w:p>
      <w:pPr>
        <w:pStyle w:val="Heading2"/>
      </w:pPr>
      <w:r>
        <w:t xml:space="preserve">Подпункт 2</w:t>
      </w:r>
    </w:p>
    <w:p>
      <w:r>
        <w:t xml:space="preserve">2) абзацев восьмого, девятого, десятого, одиннадцатого, двенадцатого, тринадцатого, четырнадцатого, пятнадцатого, шестнадцатого, семнадцатого, восемнадцатого и девятнадцатого пункта 1 настоящего постановления, которые вводятся в действие с 1 января 2027 года.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