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23 октября 2020 года № 701 "Вопросы Министерства по чрезвычайным ситуациям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22.06.2026. № 226745. редакция от 22.06.2026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23 октября 2020 года № 701 "Вопросы Министерства по чрезвычайным ситуациям Республики Казахстан" следующие изменения и дополнения:</w:t>
      </w:r>
    </w:p>
    <w:p>
      <w:r>
        <w:t xml:space="preserve">в Положении о Министерстве по чрезвычайным ситуациям Республики Казахстан, утвержденном указанным постановлением:</w:t>
      </w:r>
    </w:p>
    <w:p>
      <w:r>
        <w:t xml:space="preserve">часть вторую пункта 13 изложить в следующей редакции:</w:t>
      </w:r>
    </w:p>
    <w:p>
      <w:r>
        <w:t xml:space="preserve">"Если Министерству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в пункте 16 :</w:t>
      </w:r>
    </w:p>
    <w:p>
      <w:r>
        <w:t xml:space="preserve">дополнить подпунктом 59-6) следующего содержания:</w:t>
      </w:r>
    </w:p>
    <w:p>
      <w:r>
        <w:t xml:space="preserve">"59-6) разрабатывает и утверждает правила возмещения вреда (ущерба), причиненного пострадавшим вследствие чрезвычайных ситуаций природного характера;";</w:t>
      </w:r>
    </w:p>
    <w:p>
      <w:r>
        <w:t xml:space="preserve">подпункт 153) изложить в следующей редакции:</w:t>
      </w:r>
    </w:p>
    <w:p>
      <w:r>
        <w:t xml:space="preserve">"153) разрабатывает и утверждает требования к цифровым системам и интернет-ресурсам специального учебного заведения Министерства;";</w:t>
      </w:r>
    </w:p>
    <w:p>
      <w:r>
        <w:t xml:space="preserve">подпункт 175-14) изложить в следующей редакции:</w:t>
      </w:r>
    </w:p>
    <w:p>
      <w:r>
        <w:t xml:space="preserve">"175-14) на ежегодной основе по согласованию с местными исполнительными органами столицы, областей, городов республиканского значения формирует потребность рынка труда в признании профессиональных квалификаций с учетом актуальности профессий в текущем и будущем периодах в порядке, определенном уполномоченным органом в области признания профессиональных квалификаций;";</w:t>
      </w:r>
    </w:p>
    <w:p>
      <w:r>
        <w:t xml:space="preserve">подпункт 187) изложить в следующей редакции:</w:t>
      </w:r>
    </w:p>
    <w:p>
      <w:r>
        <w:t xml:space="preserve">"обеспечивает функционирование корпоративной цифровой системы государственной системы гражданской защиты, ситуационно-кризисных центров;";</w:t>
      </w:r>
    </w:p>
    <w:p>
      <w:r>
        <w:t xml:space="preserve">подпункт 188) изложить в следующей редакции:</w:t>
      </w:r>
    </w:p>
    <w:p>
      <w:r>
        <w:t xml:space="preserve">"188) обеспечивает кибербезопасность в органах гражданской защиты;";</w:t>
      </w:r>
    </w:p>
    <w:p>
      <w:r>
        <w:t xml:space="preserve">дополнить подпунктом 235-3) следующего содержания:</w:t>
      </w:r>
    </w:p>
    <w:p>
      <w:r>
        <w:t xml:space="preserve">"235-3) проводит анализ потребностей организаций, имеющих мобилизационный заказ, в соответствии с методикой определения перечня и расчета объемов товаров, необходимых для выполнения мобилизационного заказа в сфере гражданской защиты, для формирования номенклатуры и объемов хранения материальных ценностей государственного материального резерва в части мобилизационного резерва;";</w:t>
      </w:r>
    </w:p>
    <w:p>
      <w:r>
        <w:t xml:space="preserve">дополнить подпунктами 288-1) и 288-2) следующего содержания:</w:t>
      </w:r>
    </w:p>
    <w:p>
      <w:r>
        <w:t xml:space="preserve">"288-1) оказывает социально ответственные услуги в соответствии с правилами оказания социально ответственных услуг, утвержденными уполномоченным органом в сфере гражданской защиты по согласованию с уполномоченным органом, осуществляющим регулирование или руководство в соответствующей сфере;</w:t>
      </w:r>
    </w:p>
    <w:p>
      <w:pPr>
        <w:pStyle w:val="Heading2"/>
      </w:pPr>
      <w:r>
        <w:t xml:space="preserve">Подпункт 288-2</w:t>
      </w:r>
    </w:p>
    <w:p>
      <w:r>
        <w:t xml:space="preserve">288-2) разрабатывает и утверждает типовые правила оказания социально ответственных услуг в сфере гражданской защиты;";</w:t>
      </w:r>
    </w:p>
    <w:p>
      <w:r>
        <w:t xml:space="preserve">подпункт 3) пункта 21 изложить в следующей редакции:</w:t>
      </w:r>
    </w:p>
    <w:p>
      <w:r>
        <w:t xml:space="preserve">"3) представляет Министерство в Курултае Республики Казахстан, иных государственных органах и организациях;".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 и подлежит официальному опубликованию, за исключением:</w:t>
      </w:r>
    </w:p>
    <w:p>
      <w:pPr>
        <w:pStyle w:val="Heading2"/>
      </w:pPr>
      <w:r>
        <w:t xml:space="preserve">Подпункт 1</w:t>
      </w:r>
    </w:p>
    <w:p>
      <w:r>
        <w:t xml:space="preserve">1) абзацев третьего, четвертого, десятого, одиннадцатого, двадцать первого и двадцать второго пункта 1 настоящего постановления, которые вводятся в действие с 1 июля 2026 года;</w:t>
      </w:r>
    </w:p>
    <w:p>
      <w:pPr>
        <w:pStyle w:val="Heading2"/>
      </w:pPr>
      <w:r>
        <w:t xml:space="preserve">Подпункт 2</w:t>
      </w:r>
    </w:p>
    <w:p>
      <w:r>
        <w:t xml:space="preserve">2) абзацев восьмого, девятого, двенадцатого, тринадцатого, четырнадцатого и пятнадцатого пункта 1 настоящего постановления, которые вводятся в действие с 11 июля 2026 года;</w:t>
      </w:r>
    </w:p>
    <w:p>
      <w:pPr>
        <w:pStyle w:val="Heading2"/>
      </w:pPr>
      <w:r>
        <w:t xml:space="preserve">Подпункт 3</w:t>
      </w:r>
    </w:p>
    <w:p>
      <w:r>
        <w:t xml:space="preserve">3) абзацев шестнадцатого и семнадцатого пункта 1 настоящего постановления, которые вводятся в действие с 1 января 2027 года.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