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дополнений в некоторые решения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02.03.2011. № 209. редакция от 14.12.2012</w:t>
      </w:r>
    </w:p>
    <w:p>
      <w:pPr>
        <w:pStyle w:val="Heading2"/>
      </w:pPr>
      <w:r>
        <w:t xml:space="preserve">Текст</w:t>
      </w:r>
    </w:p>
    <w:p>
      <w:r>
        <w:t xml:space="preserve">Сноска. Пункт 1 с изменениями, внесенными постановлениями Правительства РК от 31.10.2011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