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некоторых вопросах акционерного общества "Казахстанское контрактное агентство"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02.10.2009. № 48023. редакция от 28.08.2015</w:t>
      </w:r>
    </w:p>
    <w:p>
      <w:pPr>
        <w:pStyle w:val="Heading2"/>
      </w:pPr>
      <w:r>
        <w:t xml:space="preserve">Текст</w:t>
      </w:r>
    </w:p>
    <w:p>
      <w:r>
        <w:t xml:space="preserve">Сноска. Пункт 3 с изменениями, внесенными постановлениями Правительства РК от 19.09.2014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