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заключении Протокола об обмене информацией по контролю за трансфертным ценообразованием между налоговыми и таможенными органами государств-членов Евразийского экономического сообщества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23.03.2005. № 259. редакция от 23.03.2005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Одобрить прилагаемый проект Протокола об обмене информацией по контролю за трансфертным ценообразованием между налоговыми и таможенными органами государств-членов Евразийского экономического сообщества. 2. Уполномочить Министра финансов Республики Казахстан Дунаева Армана Галиаскаровича заключить от имени Правительства Республики Казахстан Протокол об обмене информацией по контролю за трансфертным ценообразованием между налоговыми и таможенными органами государств-членов Евразийского экономического сообщества, разрешив вносить в него изменения и дополнения, не имеющие принципиального характера.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Глава ПРОТОКОЛ об обмене информацией по контролю за трансфертным ценообразованием между налоговыми и таможенными органами государств-членов Евразийского экономического сообщества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Беларусь, Правительство Республики Казахстан, Правительство Кыргызской Республики, Правительство Российской Федерации и Правительство Республики Таджикистан, далее именуемые Сторонами, в соответствии со статьей 5 Соглашения об обмене информацией между налоговыми и таможенными органами государств-членов Евразийского экономического сообщества от 25 января 2002 года, руководствуясь положениями Договора о Таможенном союзе и Едином экономическом пространстве от 26 февраля 1999 года и Договора об учреждении Евразийского экономического сообщества от 10 октября 2000 года, исходя из взаимной заинтересованности в усилении контроля за ввозом и вывозом товаров (работ, услуг), своевременным и полным поступлением налогов, пошлин и иных платежей в государственные бюджеты государств-членов Евразийского экономического сообщества (далее - ЕврАзЭС), признавая необходимость осуществления государственного контроля при применении трансфертных цен на территории государств-членов ЕврАзЭС, осознавая необходимость совершенствования налогового и таможенного контроля по международным сделкам, совершаемым хозяйствующими субъектами государств-членов ЕврАзЭС, а также по сделкам, где территории государств-членов ЕврАзЭС используются как транзитный коридор, обмена информацией между налоговыми и таможенными органами государств-членов ЕврАзЭС, желая с этой целью оказывать друг другу содействие, согласились о нижеследующем:</w:t>
      </w:r>
    </w:p>
    <w:p>
      <w:pPr>
        <w:pStyle w:val="Heading2"/>
      </w:pPr>
      <w:r>
        <w:t xml:space="preserve">Статья 1</w:t>
      </w:r>
    </w:p>
    <w:p>
      <w:r>
        <w:t xml:space="preserve">Для целей настоящего Протокола используются следующие основные понятия: "рыночная (свободная) цена" - рыночной (свободной) ценой товара (работ, услуг) признается цена, сложившаяся при взаимодействии спроса и предложения на национальном рынке идентичных (а при их отсутствии - однородных) товаров (работ, услуг) в сопоставимых экономических (коммерческих) условиях; "идентичные товары" - товары (работы, услуги), имеющие одинаковые характерные для них основные признаки, в том числе такие признаки, как физические характеристики, качество и репутация на рынке, страна происхождения, производитель. При определении идентичности товаров незначительные различия в их внешнем виде могут не учитываться; "однородные товары" - товары (работы, услуги), которые, не являясь идентичными, имеют сходные характеристики и состоят из схожих компонентов, что позволяет им выполнять те же функции и быть коммерчески взаимозаменяемыми. При определении однородности товаров (работ, услуг) учитываются, в частности, их качество, наличие товарного знака, репутация на рынке, страна происхождения; "трансфертная цена" - цена на товары (работы, услуги), которая отличается от объективно сформированной рыночной цены при совершении международных сделок; "компетентные органы" - налоговые и таможенные органы государств-членов ЕврАзЭС; "контроль за трансфертным ценообразованием" - государственный контроль, осуществляемый компетентными органами для установления факта применения трансфертных цен на товары (работы, услуги) при международных сделках с целью дальнейшей корректировки налоговой базы в соответствии с национальным законодательством.</w:t>
      </w:r>
    </w:p>
    <w:p>
      <w:pPr>
        <w:pStyle w:val="Heading2"/>
      </w:pPr>
      <w:r>
        <w:t xml:space="preserve">Статья 2</w:t>
      </w:r>
    </w:p>
    <w:p>
      <w:pPr>
        <w:pStyle w:val="Heading2"/>
      </w:pPr>
      <w:r>
        <w:t xml:space="preserve">Пункт 1</w:t>
      </w:r>
    </w:p>
    <w:p>
      <w:r>
        <w:t xml:space="preserve">1. Таможенные органы государств-членов ЕврАзЭС в рамках своей компетенции предоставляют налоговым органам своих государств необходимую информацию по товарам, которые: ввозятся на территорию государства и остаются постоянно на этой территории без обязательства об их вывозе с этой территории; вывозятся за пределы территории государства без обязательства об их ввозе на эту территорию; перемещаются по территории государств-членов ЕврАзЭС транзитом; ввозятся на территорию государства и вывозятся за пределы этой территории для переработки. 2. Информация, указанная в пункте 1 настоящей статьи, предоставляется согласно приложению к настоящему Протоколу.</w:t>
      </w:r>
    </w:p>
    <w:p>
      <w:pPr>
        <w:pStyle w:val="Heading2"/>
      </w:pPr>
      <w:r>
        <w:t xml:space="preserve">Статья 3</w:t>
      </w:r>
    </w:p>
    <w:p>
      <w:pPr>
        <w:pStyle w:val="Heading2"/>
      </w:pPr>
      <w:r>
        <w:t xml:space="preserve">Пункт 1</w:t>
      </w:r>
    </w:p>
    <w:p>
      <w:r>
        <w:t xml:space="preserve">1. Налоговые органы государств-членов ЕврАзЭС в рамках своей компетенции в целях контроля за трансфертным ценообразованием обмениваются информацией по: расходам, связанным с доставкой товаров (транспортные расходы, страхование, предэкспортное кредитование и т.д.) до потребителей на территории государств-членов ЕврАзЭС; срокам и условиям доставки отгруженных товаров; срокам и условиям оплаты за товары (работы, услуги); качеству поставляемых товаров (работ, услуг); ценообразованию продуктов переработки; рыночным ценам на товары (работы, услуги), сложившимся на рынках государств-членов ЕврАзЭС; тарифам на перевозку, хранение и переработку товаров на территории государств-членов ЕврАзЭС; другим сведениям, необходимым для осуществления контроля за трансфертным ценообразованием. 2. Состав информации по товарам (работам, услугам) определяется запрашивающим налоговым органом государства-члена ЕврАзЭС. 3. Обмен информацией между налоговыми органами государств-членов ЕврАзЭС осуществляется в письменном (на бумажном носителе) или в электронном виде, заверенном в установленном порядке. 4. Налоговые органы государств-членов ЕврАзЭС предоставляют информацию, указанную в пункте 1 настоящей статьи, таможенным органам своих государств по их запросам.</w:t>
      </w:r>
    </w:p>
    <w:p>
      <w:pPr>
        <w:pStyle w:val="Heading2"/>
      </w:pPr>
      <w:r>
        <w:t xml:space="preserve">Статья 4</w:t>
      </w:r>
    </w:p>
    <w:p>
      <w:r>
        <w:t xml:space="preserve">Информация, указанная в статье 2 и в статье 3 настоящего Протокола, предоставляется не позднее 30 календарных дней со дня получения запроса налоговым органом государства-члена ЕврАзЭС.</w:t>
      </w:r>
    </w:p>
    <w:p>
      <w:pPr>
        <w:pStyle w:val="Heading2"/>
      </w:pPr>
      <w:r>
        <w:t xml:space="preserve">Статья 5</w:t>
      </w:r>
    </w:p>
    <w:p>
      <w:r>
        <w:t xml:space="preserve">Компетентные органы государств-членов ЕврАзЭС соблюдают конфиденциальность полученной информации и обеспечивают режим ее защиты в соответствии с национальными законодательствами государств-членов ЕврАзЭС. Компетентные органы государств-членов ЕврАзЭС не допускают передачи информации третьим лицам.</w:t>
      </w:r>
    </w:p>
    <w:p>
      <w:pPr>
        <w:pStyle w:val="Heading2"/>
      </w:pPr>
      <w:r>
        <w:t xml:space="preserve">Статья 6</w:t>
      </w:r>
    </w:p>
    <w:p>
      <w:r>
        <w:t xml:space="preserve">По взаимной договоренности Сторон в настоящий Протокол могут вноситься изменения и дополнения, которые оформляются Сторонами дополнительными протоколами.</w:t>
      </w:r>
    </w:p>
    <w:p>
      <w:pPr>
        <w:pStyle w:val="Heading2"/>
      </w:pPr>
      <w:r>
        <w:t xml:space="preserve">Статья 7</w:t>
      </w:r>
    </w:p>
    <w:p>
      <w:r>
        <w:t xml:space="preserve">Все споры и разногласия относительно толкования и применения положений настоящего Протокола решаются путем переговоров и консультаций между Сторонами.</w:t>
      </w:r>
    </w:p>
    <w:p>
      <w:pPr>
        <w:pStyle w:val="Heading2"/>
      </w:pPr>
      <w:r>
        <w:t xml:space="preserve">Статья 8</w:t>
      </w:r>
    </w:p>
    <w:p>
      <w:r>
        <w:t xml:space="preserve">Депозитарием настоящего Протокола является Интеграционный Комитет Евразийского экономического сообщества.</w:t>
      </w:r>
    </w:p>
    <w:p>
      <w:pPr>
        <w:pStyle w:val="Heading2"/>
      </w:pPr>
      <w:r>
        <w:t xml:space="preserve">Статья 9</w:t>
      </w:r>
    </w:p>
    <w:p>
      <w:r>
        <w:t xml:space="preserve">Настоящий Протокол вступает в силу со дня сдачи на хранение депозитарию третьего письменного уведомления о выполнении подписавшими его Сторонами внутригосударственных процедур, необходимых для его вступления в силу. Для Сторон, выполнивших необходимые внутригосударственные процедуры позднее, настоящий Протокол вступает в силу со дня сдачи соответствующего письменного уведомления депозитарию. Каждая Сторона может выйти из настоящего Протокола, направив письменное уведомление об этом депозитарию не менее чем за 6 месяцев до предполагаемой даты выхода.</w:t>
      </w:r>
    </w:p>
    <w:p>
      <w:r>
        <w:t xml:space="preserve">Совершено в г. ______ "____"__________ 2005 года в одном экземпляре на русском языке. Подлинный экземпляр хранится в Интеграционном Комитете Евразийского экономического сообщества, который направит каждой Стороне, подписавшей настоящий Протокол, его заверенную копию.</w:t>
      </w:r>
    </w:p>
    <w:p>
      <w:r>
        <w:t xml:space="preserve">За Правительство Республики Беларусь</w:t>
      </w:r>
    </w:p>
    <w:p>
      <w:r>
        <w:t xml:space="preserve">За Правительство Республики Казахстан</w:t>
      </w:r>
    </w:p>
    <w:p>
      <w:r>
        <w:t xml:space="preserve">За Правительство Кыргызской Республики</w:t>
      </w:r>
    </w:p>
    <w:p>
      <w:r>
        <w:t xml:space="preserve">За Правительство Российской Федерации</w:t>
      </w:r>
    </w:p>
    <w:p>
      <w:r>
        <w:t xml:space="preserve">За Правительство Республики Таджикистан</w:t>
      </w:r>
    </w:p>
    <w:p>
      <w:pPr>
        <w:pStyle w:val="Heading2"/>
      </w:pPr>
      <w:r>
        <w:t xml:space="preserve">Приложение Приложение к Протоколу об обмене информацией по контролю за трансфертным ценообразованием между налоговыми и таможенными органами государств-членов ЕврАзЭС</w:t>
      </w:r>
    </w:p>
    <w:p>
      <w:pPr>
        <w:pStyle w:val="Heading2"/>
      </w:pPr>
      <w:r>
        <w:t xml:space="preserve">Текст</w:t>
      </w:r>
    </w:p>
    <w:p>
      <w:r>
        <w:t xml:space="preserve">Типовая форма предоставления информации</w:t>
      </w:r>
    </w:p>
    <w:p>
      <w:r>
        <w:t xml:space="preserve">| N по- ряд- ковый номер | Нап- рав- ление дви- жение то- вара | Код тамо- жен- ного ре- жима | Наи- мено- вание тамо- жен- ного ре- жима | Но- мер ГТД | Код то- вара по ТН ВЭД | Наи- мено- вание и описа- ние то- вара из ГТД | Но- мер конт- ракта (дого- вора) | Дата конт- ракта(до- гово- ра) |</w:t>
      </w:r>
    </w:p>
    <w:p>
      <w:r>
        <w:t xml:space="preserve">|---|---|---|---|---|---|---|---|---|</w:t>
      </w:r>
    </w:p>
    <w:p>
      <w:r>
        <w:t xml:space="preserve">| 1 | 2 | 3 | 4 | 5 | 6 | 7 | 8 | 9 |</w:t>
      </w:r>
    </w:p>
    <w:p>
      <w:r>
        <w:t xml:space="preserve">| Но- мер при- ложе- ния (до- пол- не- ния) к конт- ракту | Дата при- ложе- ния (до- пол- не- ния) к конт- ракту | Но- мер счет- фак- туры (сче- та- про- формы) | Дата счет-фак- туры (сче- та- про- фор- мы) | Код стра- ны отп- рав- ле- ния | Наи- мено- вание страны отп- равле- ния | Номер налог- опла- тель- щика- отпра- вителя | Наи- мено- вание отп- рави- теля | Ад- рес отп- рави- теля |</w:t>
      </w:r>
    </w:p>
    <w:p>
      <w:r>
        <w:t xml:space="preserve">|---|---|---|---|---|---|---|---|---|</w:t>
      </w:r>
    </w:p>
    <w:p>
      <w:r>
        <w:t xml:space="preserve">| 10 | 11 | 12 | 13 | 14 | 15 | 16 | 17 | 18 |</w:t>
      </w:r>
    </w:p>
    <w:p>
      <w:r>
        <w:t xml:space="preserve">| Но- мер на- лого- пла- тель- щика- лица, ответ- ствен-ного за финан- совое регу- лиро- вание | Лицо, от- вет- стве- нное за фи- нан- совое регу- лиро- вание | Адрес лица, ответ- ствен- ного за финан- совое регу- лиро- вание | Код стра- ны наз- на- чения | Стра- на наз- наче- ния | Номер нало- гопла- тель- щика- полу- чателя | Наи- мено- вание полу- чателя | Адрес полу- чателя | Усло- вия пос- тавки |</w:t>
      </w:r>
    </w:p>
    <w:p>
      <w:r>
        <w:t xml:space="preserve">|---|---|---|---|---|---|---|---|---|</w:t>
      </w:r>
    </w:p>
    <w:p>
      <w:r>
        <w:t xml:space="preserve">| 19 | 20 | 21 | 22 | 23 | 24 | 25 | 26 | 27 |</w:t>
      </w:r>
    </w:p>
    <w:p>
      <w:r>
        <w:t xml:space="preserve">| Код вида транс- порта при отп- рав- лении | Наи- мено- вание вида транс- порта при отп- рав- лении | Код доп. ед. измер. | Наи- мено- ваниедоп. ед. из- мер. | Кол-во то- ва- ров в доп.ед. из- мер. | Вес нетто (кг) | Фак- тур- ная стои- мость то- вара | Наи- мено- вание валю- ты конт- ракта | Код ва- люты конт- ракта |</w:t>
      </w:r>
    </w:p>
    <w:p>
      <w:r>
        <w:t xml:space="preserve">|---|---|---|---|---|---|---|---|---|</w:t>
      </w:r>
    </w:p>
    <w:p>
      <w:r>
        <w:t xml:space="preserve">| 28 | 29 | 30 | 31 | 32 | 33 | 34 | 35 | 36 |</w:t>
      </w:r>
    </w:p>
    <w:p>
      <w:r>
        <w:t xml:space="preserve">| Курс ва- люты | Ста- тис- тичес- кая стои- мость (долл. США) |</w:t>
      </w:r>
    </w:p>
    <w:p>
      <w:r>
        <w:t xml:space="preserve">|---|---|</w:t>
      </w:r>
    </w:p>
    <w:p>
      <w:r>
        <w:t xml:space="preserve">| 37 | 38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