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постановления Правительства Республики Казахстан от 4 сентября 2003 года N 901 и от 27 марта 2004 года N 371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28.09.2004. № 21591. редакция от 07.10.2011</w:t>
      </w:r>
    </w:p>
    <w:p>
      <w:pPr>
        <w:pStyle w:val="Heading2"/>
      </w:pPr>
      <w:r>
        <w:t xml:space="preserve">Текст</w:t>
      </w:r>
    </w:p>
    <w:p>
      <w:r>
        <w:t xml:space="preserve">Примечание РЦПИ: текст с грифом "ДСП" не вносится в базу данных "Закон".</w:t>
      </w:r>
    </w:p>
    <w:p>
      <w:pPr>
        <w:pStyle w:val="Heading2"/>
      </w:pPr>
      <w:r>
        <w:t xml:space="preserve">Текст</w:t>
      </w:r>
    </w:p>
    <w:p>
      <w:r>
        <w:t xml:space="preserve">Сноска. постановление c изменениями, внесенными постановлениями  Правительства РК от 28.08.2008 N 781 ; от 07.10.2011 № 1151 (вводится в действие с 21.01.2012).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