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продлении действия антидемпинговой меры в отношении уголков стальных горячекатаных, происходящих из Украины и ввозимых на таможенную территорию Евразийского экономического союза</w:t>
      </w:r>
    </w:p>
    <w:p>
      <w:r>
        <w:t xml:space="preserve">Решение. Коллегия Евразийской экономической комиссии. от 07.03.2023. № 26. редакция от 07.03.2023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109 Протокола о применении специальных защитных, антидемпинговых и компенсационных мер по отношению к третьим странам (приложение № 8 к Договору о Евразийском экономическом союзе от 29 мая 2014 года) и на основании доклада Департамента защиты внутреннего рынка Евразийской экономической комиссии, подготовленного по результатам повторного расследования, проведенного в связи с истечением срока действия антидемпинговой меры, установленной Решением Коллегии Евразийской экономической комиссии от 3 октября 2017 г. № 133, Коллегия Евразийской экономической комиссии решила :</w:t>
      </w:r>
    </w:p>
    <w:p>
      <w:pPr>
        <w:pStyle w:val="Heading2"/>
      </w:pPr>
      <w:r>
        <w:t xml:space="preserve">Пункт 1</w:t>
      </w:r>
    </w:p>
    <w:p>
      <w:r>
        <w:t xml:space="preserve">1. Применить антидемпинговую меру посредством введения сроком по 6 марта 2028 г. включительно антидемпинговой пошлины в размере 37,89 процента от таможенной стоимости в отношении ввозимых на таможенную территорию Евразийского экономического союза уголков стальных горячекатаных равнополочных шириной полки от 20 до 200 мм включительно из углеродистой, низколегированной и легированной (за исключением коррозионностойкой) стали, происходящих из Украины, классифицируемых кодами 7216 21 000 0, 7216 40 100 0, 7216 50 100 0, 7216 50 990 0, 7228 70 100 0 ТН ВЭД ЕАЭС.</w:t>
      </w:r>
    </w:p>
    <w:p>
      <w:pPr>
        <w:pStyle w:val="Heading2"/>
      </w:pPr>
      <w:r>
        <w:t xml:space="preserve">Пункт 2</w:t>
      </w:r>
    </w:p>
    <w:p>
      <w:r>
        <w:t xml:space="preserve">2. Государственным органам государств – членов Евразийского экономического союза, уполномоченным в сфере таможенного дела:</w:t>
      </w:r>
    </w:p>
    <w:p>
      <w:r>
        <w:t xml:space="preserve">обеспечить взимание антидемпинговой пошлины, предусмотренной настоящим Решением, руководствуясь как кодами ТН ВЭД ЕАЭС, так и наименованием товара;</w:t>
      </w:r>
    </w:p>
    <w:p>
      <w:r>
        <w:t xml:space="preserve">обеспечить осуществление зачета сумм антидемпинговой пошлины, уплаченной (взысканной) в соответствии с Решением Коллегии Евразийской экономической комиссии от 23 мая 2022 г. № 85 в порядке, установленном для взимания предварительных антидемпинговых пошлин, в антидемпинговую пошлину и зачисление на единый счет уполномоченного органа того государства – члена Евразийского экономического союза, в котором она была уплачена (взыскана).</w:t>
      </w:r>
    </w:p>
    <w:p>
      <w:pPr>
        <w:pStyle w:val="Heading2"/>
      </w:pPr>
      <w:r>
        <w:t xml:space="preserve">Пункт 3</w:t>
      </w:r>
    </w:p>
    <w:p>
      <w:r>
        <w:t xml:space="preserve">3. Департаменту антимонопольного регулирования Евразийской экономической комиссии в период действия антидемпинговой меры, предусмотренной настоящим Решением, осуществлять мониторинг цен на товарном рынке уголков стальных горячекатаных равнополочных шириной полки от 20 до 200 мм включительно из углеродистой, низколегированной и легированной (за исключением коррозионностойкой) стали и о его результатах информировать Коллегию Евразийской экономической комиссии по итогам каждого полугодия.</w:t>
      </w:r>
    </w:p>
    <w:p>
      <w:pPr>
        <w:pStyle w:val="Heading2"/>
      </w:pPr>
      <w:r>
        <w:t xml:space="preserve">Пункт 4</w:t>
      </w:r>
    </w:p>
    <w:p>
      <w:r>
        <w:t xml:space="preserve">4. 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Председатель Коллегии Евразийской экономической комиссии | М. Мясникович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