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02.07.2026. № 227358. редакция от 02.07.2026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приказов, в которые вносятся изменения,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регионального развития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на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Утвержден приказом Заместитель Премьер- Министра – Министр национальной экономики Республики Казахстан от 2 июля 2026 года № 99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10 июня 2025 года № 50 "Об утверждении критериев для определения потенциала сельских населенных пунктов" следующие изменения:</w:t>
      </w:r>
    </w:p>
    <w:p>
      <w:r>
        <w:t xml:space="preserve">в Критериях для определения потенциала сельских населенных пунктов, утвержденных указанным приказом:</w:t>
      </w:r>
    </w:p>
    <w:p>
      <w:r>
        <w:t xml:space="preserve">в разделе 1. "Экономический блок (40 баллов)":</w:t>
      </w:r>
    </w:p>
    <w:p>
      <w:r>
        <w:t xml:space="preserve">подраздел "Оценочная стоимость*" изложить в следующей редакции:</w:t>
      </w:r>
    </w:p>
    <w:p>
      <w:r>
        <w:t xml:space="preserve">"</w:t>
      </w:r>
    </w:p>
    <w:p>
      <w:r>
        <w:t xml:space="preserve">| Оценочная стоимость* | Общая стоимость поголовья*, млн. теңге | Свыше 150 миллионов теңге | 3 |</w:t>
      </w:r>
    </w:p>
    <w:p>
      <w:r>
        <w:t xml:space="preserve">|---|---|---|---|</w:t>
      </w:r>
    </w:p>
    <w:p>
      <w:r>
        <w:t xml:space="preserve">| Менее 150 миллионов теңге | (Количество голов * цена за голову) / 150 миллионов теңге* 3 |  |  |</w:t>
      </w:r>
    </w:p>
    <w:p>
      <w:r>
        <w:t xml:space="preserve">| Общая стоимость урожая*, млн. теңге | Свыше 240 миллионов теңге | 2 |  |</w:t>
      </w:r>
    </w:p>
    <w:p>
      <w:r>
        <w:t xml:space="preserve">| Менее 240 миллионов теңге | (Объем урожая * цена за тонну) / 240 миллионов теңге* 2 | 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приложении :</w:t>
      </w:r>
    </w:p>
    <w:p>
      <w:pPr>
        <w:pStyle w:val="Heading2"/>
      </w:pPr>
      <w:r>
        <w:t xml:space="preserve">Текст</w:t>
      </w:r>
    </w:p>
    <w:p>
      <w:r>
        <w:t xml:space="preserve">часть вторую пункта 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"Приведенные ниже пороговые значения рассчитывались исходя из международного опыта (анализировались показатели 21 страны), внутристрановых показателей, расчета средних значений по Республике Казахстан.";</w:t>
      </w:r>
    </w:p>
    <w:p>
      <w:pPr>
        <w:pStyle w:val="Heading2"/>
      </w:pPr>
      <w:r>
        <w:t xml:space="preserve">Текст</w:t>
      </w:r>
    </w:p>
    <w:p>
      <w:r>
        <w:t xml:space="preserve">подпункт 3) пункта 5 изложить в следующей редакции;</w:t>
      </w:r>
    </w:p>
    <w:p>
      <w:pPr>
        <w:pStyle w:val="Heading2"/>
      </w:pPr>
      <w:r>
        <w:t xml:space="preserve">Текст</w:t>
      </w:r>
    </w:p>
    <w:p>
      <w:r>
        <w:t xml:space="preserve">"3) оценочная стоимость – суммарно 6 баллов.</w:t>
      </w:r>
    </w:p>
    <w:p>
      <w:pPr>
        <w:pStyle w:val="Heading2"/>
      </w:pPr>
      <w:r>
        <w:t xml:space="preserve">Текст</w:t>
      </w:r>
    </w:p>
    <w:p>
      <w:r>
        <w:t xml:space="preserve">Показатели данного фактора являются оценочными и применяются для определения оценки объема животноводства и растениеводства в денежном выражении, а также оценки текущего экономического вклада в развитии животноводства и растениеводства в местную экономику. Источниками данных показателей являются данные местных исполнительных органов.</w:t>
      </w:r>
    </w:p>
    <w:p>
      <w:pPr>
        <w:pStyle w:val="Heading2"/>
      </w:pPr>
      <w:r>
        <w:t xml:space="preserve">Текст</w:t>
      </w:r>
    </w:p>
    <w:p>
      <w:r>
        <w:t xml:space="preserve">Данный фактор подразделяется на две категории:</w:t>
      </w:r>
    </w:p>
    <w:p>
      <w:pPr>
        <w:pStyle w:val="Heading2"/>
      </w:pPr>
      <w:r>
        <w:t xml:space="preserve">Текст</w:t>
      </w:r>
    </w:p>
    <w:p>
      <w:r>
        <w:t xml:space="preserve">а) общая стоимость поголовья, миллион теңге – 3 баллов. Определяется как сумма стоимостей отдельных видов скота. Рассчитывается путем умножения количества скота на ценовую составляющую по каждому виду скота. Пороговое значение равно – 150 миллионов теңге. Источник информации – данные местных исполнительных органов.</w:t>
      </w:r>
    </w:p>
    <w:p>
      <w:pPr>
        <w:pStyle w:val="Heading2"/>
      </w:pPr>
      <w:r>
        <w:t xml:space="preserve">Текст</w:t>
      </w:r>
    </w:p>
    <w:p>
      <w:r>
        <w:t xml:space="preserve">Расчет классификационного фактора: (Количество голов скота*цену на голову скота, миллион теңге / 150 миллионов теңге)*3;</w:t>
      </w:r>
    </w:p>
    <w:p>
      <w:pPr>
        <w:pStyle w:val="Heading2"/>
      </w:pPr>
      <w:r>
        <w:t xml:space="preserve">Текст</w:t>
      </w:r>
    </w:p>
    <w:p>
      <w:r>
        <w:t xml:space="preserve">б) общая стоимость урожая, миллион теңге – 3 балла. Определятся как сумма стоимостей всех сельскохозяйственных культур, полученного от урожая текущего года. ВДС растениеводства рассчитывается путем умножения производства вида продукции растениеводства в натуральном выражении на ценовую составляющую по виду продукции растениеводства. Пороговое значение равно – 240 миллионов теңге. Источник информации – данные местных исполнительных органов.</w:t>
      </w:r>
    </w:p>
    <w:p>
      <w:pPr>
        <w:pStyle w:val="Heading2"/>
      </w:pPr>
      <w:r>
        <w:t xml:space="preserve">Текст</w:t>
      </w:r>
    </w:p>
    <w:p>
      <w:r>
        <w:t xml:space="preserve">Расчет классификационного фактора: (объем урожая*цену за тонну, миллион теңге / 240 миллионов теңге)*3.".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Заместителя Премьер-Министра - Министра национальной экономики Республики Казахстан от 16 мая 2025 года № 29 "Об утверждении Правил взаимоотношений местных бюджетов одного уровня друг с другом по совместному решению вопросов местного значения на территории агломерации, порядка составления и представления отчетности о реализации соглашения о совместном решении вопросов местного значения на территории агломерации и требований к содержанию соглашения о совместном решении вопросов местного значения на территории агломерации" внести следующие изменения:</w:t>
      </w:r>
    </w:p>
    <w:p>
      <w:r>
        <w:t xml:space="preserve">в Правилах взаимоотношений местных бюджетов одного уровня друг с другом по совместному решению вопросов местного значения на территории агломерации, порядок составления и представления отчетности о реализации соглашения о совместном решении вопросов местного значения на территории агломерации и требования к содержанию соглашения о совместном решении вопросов местного значения на территории агломерации, утвержденных указанным приказом:</w:t>
      </w:r>
    </w:p>
    <w:p>
      <w:r>
        <w:t xml:space="preserve">пункты 3 и 4 изложить в следующей редакции:</w:t>
      </w:r>
    </w:p>
    <w:p>
      <w:r>
        <w:t xml:space="preserve">"3. Взаимоотношения местных бюджетов одного уровня друг с другом по совместному решению вопросов местного значения на территории агломерации осуществляются на основании соглашения о совместном решении вопросов местного значения на территории агломерации по ходатайству акимов столицы, областей, городов республиканского значения, районов (городов районного значения) и допускаются на цели развития агломерации посредством строительства новых объектов.</w:t>
      </w:r>
    </w:p>
    <w:p>
      <w:pPr>
        <w:pStyle w:val="Heading2"/>
      </w:pPr>
      <w:r>
        <w:t xml:space="preserve">Пункт 4</w:t>
      </w:r>
    </w:p>
    <w:p>
      <w:r>
        <w:t xml:space="preserve">4. Ходатайство акимов столицы, областей, городов республиканского значения, районов (городов районного значения) направляется ежеквартально, до 25 числа месяца, следующего за отчетным кварталом с учетом планируемых проектов на территории соответствующей агломерации.";</w:t>
      </w:r>
    </w:p>
    <w:p>
      <w:r>
        <w:t xml:space="preserve">пункты 7 и 8 изложить в следующей редакции:</w:t>
      </w:r>
    </w:p>
    <w:p>
      <w:r>
        <w:t xml:space="preserve">"7. Инициатором совместного решения вопросов выступают местные исполнительные органы столицы, области, населенные пункты которой входят в агломерацию, города республиканского значения.</w:t>
      </w:r>
    </w:p>
    <w:p>
      <w:pPr>
        <w:pStyle w:val="Heading2"/>
      </w:pPr>
      <w:r>
        <w:t xml:space="preserve">Пункт 8</w:t>
      </w:r>
    </w:p>
    <w:p>
      <w:r>
        <w:t xml:space="preserve">8. Инициатор направляет проект соглашения о взаимоотношениях и обоснование необходимости совместного решения вопроса в адрес других местных исполнительных органов столицы, области, населенные пункты которой входят в агломерацию, города республиканского значения.";</w:t>
      </w:r>
    </w:p>
    <w:p>
      <w:r>
        <w:t xml:space="preserve">пункт 12 изложить в следующей редакции:</w:t>
      </w:r>
    </w:p>
    <w:p>
      <w:r>
        <w:t xml:space="preserve">"12. Местные исполнительные органы столицы, области, населенные пункты которой входят в агломерацию, города республиканского значения, получившие проект соглашения о совместном решении вопросов местного значения на территории агломерации, проводят его рассмотрение на заседаниях местного совета по агломерации и принимают решение о предоставлении земельного участка для строительства объектов на территории агломерации.".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Заместителя Премьер-Министра – Министра национальной экономики Республики Казахстан от 23 июня 2025 года № 56 "Об утверждении Правил разработки системы региональных стандартов для населенных пунктов и Правил проведения мониторинга системы региональных стандартов для населенных пунктов" следующее изменение:</w:t>
      </w:r>
    </w:p>
    <w:p>
      <w:r>
        <w:t xml:space="preserve">в Правилах разработки системы региональных стандартов для населенных пунктов , утвержденных указанным приказом:</w:t>
      </w:r>
    </w:p>
    <w:p>
      <w:r>
        <w:t xml:space="preserve">в пункте 2 :</w:t>
      </w:r>
    </w:p>
    <w:p>
      <w:r>
        <w:t xml:space="preserve">подпункт 1) изложить в следующей редакции:</w:t>
      </w:r>
    </w:p>
    <w:p>
      <w:r>
        <w:t xml:space="preserve">"1) сельские населенные пункты – населенные пункты независимо от их административной подчиненности, которые не относятся городским населенным пунктам, городам областного и республиканского значения;";</w:t>
      </w:r>
    </w:p>
    <w:p>
      <w:r>
        <w:t xml:space="preserve">подпункт 4) изложить в следующей редакции:</w:t>
      </w:r>
    </w:p>
    <w:p>
      <w:r>
        <w:t xml:space="preserve">"4) городские населенные пункты – города областного, республиканского и районного значения, а также поселки, находящиеся на территории их административной подчиненности;";</w:t>
      </w:r>
    </w:p>
    <w:p>
      <w:r>
        <w:t xml:space="preserve">подпункт 1) пункта 4 изложить в следующей редакции:</w:t>
      </w:r>
    </w:p>
    <w:p>
      <w:r>
        <w:t xml:space="preserve">"1) на первом этапе посредством автоматизированной системы осуществляется поэтапный сбор данных местными исполнительными органами (от нижестоящего уровня к вышестоящему уровню) по обеспеченности объектами и услугами (благами) городских и сельских населенных пунктов страны, в том числе сел, центров сельских округов, районных центров, городов районного значения, городов республиканского и областного значения.</w:t>
      </w:r>
    </w:p>
    <w:p>
      <w:r>
        <w:t xml:space="preserve">Местные исполнительные органы столицы, областей, городов республиканского значения, направляют не позднее 20 января года, следующего за отчетным, в отраслевые центральные государственные органы данные по обеспеченности объектами и услугами (благами) городских и сельских населенных пунктов страны и по потребностям в строительстве, ремонту и укомплектованию объектов в разрезе направлений, согласно перечню направлений и показателей.</w:t>
      </w:r>
    </w:p>
    <w:p>
      <w:r>
        <w:t xml:space="preserve">Информация по обеспеченности объектами и услугами (благами) городских и сельских населенных пунктов страны и по потребностям в строительстве, ремонту и укомплектованию объектов формируется на основе форм, предназначенных для сбора информации по показателям, применяемым при расчете обеспеченности объектами и услугами (благами) Системы региональных стандартов (далее – Формы) согласно приложениям 1, 2, 3, 4, 5, 6, 7, 8, 9, 10, 11, 12 и 13 к настоящим Правилам.</w:t>
      </w:r>
    </w:p>
    <w:p>
      <w:r>
        <w:t xml:space="preserve">Перечень направлений и показателей, применяемых при расчете обеспеченности объектами и услугами (благами) СРС, представлен в приложении 13 к настоящим Правилам (далее – Перечень направлений и показателей).</w:t>
      </w:r>
    </w:p>
    <w:p>
      <w:r>
        <w:t xml:space="preserve">Отраслевые центральные государственные органы в течение 10 (десяти) рабочих дней осуществляют согласование и при необходимости направляют на доработку представленные данные.</w:t>
      </w:r>
    </w:p>
    <w:p>
      <w:r>
        <w:t xml:space="preserve">Местные исполнительные органы столицы, областей, городов республиканского значения, предоставляют данные, согласованные с отраслевыми центральными государственными органами, в уполномоченный орган не позднее 15 февраля года, следующего за отчетным посредством автоматизированной системы, согласно приложениям 1, 2, 3, 4, 5, 6, 7, 8, 9, 10, 11, 12 и 13 к настоящим Правилам";</w:t>
      </w:r>
    </w:p>
    <w:p>
      <w:r>
        <w:t xml:space="preserve">в приложении 1 :</w:t>
      </w:r>
    </w:p>
    <w:p>
      <w:r>
        <w:t xml:space="preserve">часть восьмую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"Образование":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2 :</w:t>
      </w:r>
    </w:p>
    <w:p>
      <w:r>
        <w:t xml:space="preserve">часть седьмую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"Здравоохранение":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3 :</w:t>
      </w:r>
    </w:p>
    <w:p>
      <w:r>
        <w:t xml:space="preserve">часть восьмую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"Социальное обеспечение":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4 :</w:t>
      </w:r>
    </w:p>
    <w:p>
      <w:r>
        <w:t xml:space="preserve">часть седьмую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"Культура и спорт":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5 :</w:t>
      </w:r>
    </w:p>
    <w:p>
      <w:r>
        <w:t xml:space="preserve">часть седьмую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"Досуг и отдых":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6 :</w:t>
      </w:r>
    </w:p>
    <w:p>
      <w:r>
        <w:t xml:space="preserve">часть седьмую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"Транспортная инфраструктура":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7 :</w:t>
      </w:r>
    </w:p>
    <w:p>
      <w:r>
        <w:t xml:space="preserve">часть седьмую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r>
        <w:t xml:space="preserve">в приложении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"Дорожная инфраструктура":</w:t>
      </w:r>
    </w:p>
    <w:p>
      <w:r>
        <w:t xml:space="preserve">пункт 2 изложить в следующей редакции:</w:t>
      </w:r>
    </w:p>
    <w:p>
      <w:r>
        <w:t xml:space="preserve">"2. Форма заполняется местными исполнительными органами столицы, областей, городов республиканского значения";</w:t>
      </w:r>
    </w:p>
    <w:p>
      <w:r>
        <w:t xml:space="preserve">пункт 4 изложить в следующей редакции:</w:t>
      </w:r>
    </w:p>
    <w:p>
      <w:r>
        <w:t xml:space="preserve">"4.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годом";</w:t>
      </w:r>
    </w:p>
    <w:p>
      <w:r>
        <w:t xml:space="preserve">в приложении 8 :</w:t>
      </w:r>
    </w:p>
    <w:p>
      <w:r>
        <w:t xml:space="preserve">часть восьмую изложить в следующей редакции: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городов республиканского значения, областей";</w:t>
      </w:r>
    </w:p>
    <w:p>
      <w:pPr>
        <w:pStyle w:val="Heading2"/>
      </w:pPr>
      <w:r>
        <w:t xml:space="preserve">Приложение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</w:t>
      </w:r>
    </w:p>
    <w:p>
      <w:pPr>
        <w:pStyle w:val="Heading2"/>
      </w:pPr>
      <w:r>
        <w:t xml:space="preserve">Текст</w:t>
      </w:r>
    </w:p>
    <w:p>
      <w:r>
        <w:t xml:space="preserve">в приложении 9 :</w:t>
      </w:r>
    </w:p>
    <w:p>
      <w:pPr>
        <w:pStyle w:val="Heading2"/>
      </w:pPr>
      <w:r>
        <w:t xml:space="preserve">Текст</w:t>
      </w:r>
    </w:p>
    <w:p>
      <w:r>
        <w:t xml:space="preserve">Часть седьмую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pPr>
        <w:pStyle w:val="Heading2"/>
      </w:pPr>
      <w:r>
        <w:t xml:space="preserve">Приложение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</w:t>
      </w:r>
    </w:p>
    <w:p>
      <w:pPr>
        <w:pStyle w:val="Heading2"/>
      </w:pPr>
      <w:r>
        <w:t xml:space="preserve">Текст</w:t>
      </w:r>
    </w:p>
    <w:p>
      <w:r>
        <w:t xml:space="preserve">в приложении 10 :</w:t>
      </w:r>
    </w:p>
    <w:p>
      <w:pPr>
        <w:pStyle w:val="Heading2"/>
      </w:pPr>
      <w:r>
        <w:t xml:space="preserve">Текст</w:t>
      </w:r>
    </w:p>
    <w:p>
      <w:r>
        <w:t xml:space="preserve">Часть седьмую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pPr>
        <w:pStyle w:val="Heading2"/>
      </w:pPr>
      <w:r>
        <w:t xml:space="preserve">Приложение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</w:t>
      </w:r>
    </w:p>
    <w:p>
      <w:pPr>
        <w:pStyle w:val="Heading2"/>
      </w:pPr>
      <w:r>
        <w:t xml:space="preserve">Текст</w:t>
      </w:r>
    </w:p>
    <w:p>
      <w:r>
        <w:t xml:space="preserve">в приложении 11 :</w:t>
      </w:r>
    </w:p>
    <w:p>
      <w:pPr>
        <w:pStyle w:val="Heading2"/>
      </w:pPr>
      <w:r>
        <w:t xml:space="preserve">Текст</w:t>
      </w:r>
    </w:p>
    <w:p>
      <w:r>
        <w:t xml:space="preserve">часть седьмую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pPr>
        <w:pStyle w:val="Heading2"/>
      </w:pPr>
      <w:r>
        <w:t xml:space="preserve">Приложение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</w:t>
      </w:r>
    </w:p>
    <w:p>
      <w:pPr>
        <w:pStyle w:val="Heading2"/>
      </w:pPr>
      <w:r>
        <w:t xml:space="preserve">Текст</w:t>
      </w:r>
    </w:p>
    <w:p>
      <w:r>
        <w:t xml:space="preserve">в приложении 12 :</w:t>
      </w:r>
    </w:p>
    <w:p>
      <w:pPr>
        <w:pStyle w:val="Heading2"/>
      </w:pPr>
      <w:r>
        <w:t xml:space="preserve">Текст</w:t>
      </w:r>
    </w:p>
    <w:p>
      <w:r>
        <w:t xml:space="preserve">Часть седьмую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"Круг лиц, представляющих форму, предназначенную для сбора административных данных на безвозмездной основе: Местные исполнительные органы столицы, областей, городов республиканского значения";</w:t>
      </w:r>
    </w:p>
    <w:p>
      <w:pPr>
        <w:pStyle w:val="Heading2"/>
      </w:pPr>
      <w:r>
        <w:t xml:space="preserve">Приложение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</w:t>
      </w:r>
    </w:p>
    <w:p>
      <w:r>
        <w:t xml:space="preserve">|  | Приложение 1 к приказу Заместитель Премьер- Министра – Министр национальной экономики Республики Казахстан от 2 июля 2026 года № 99 |</w:t>
      </w:r>
    </w:p>
    <w:p>
      <w:r>
        <w:t xml:space="preserve">|---|---|</w:t>
      </w:r>
    </w:p>
    <w:p>
      <w:r>
        <w:t xml:space="preserve">|  |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"Инженерная инфраструктура"" 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 в по направлению "Инженерная инфраструктура"" (Индекс: № СРС – 08, периодичность – 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"Инженерная инфраструктура""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местными исполнительными органами столицы, областей, городов республиканского значения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или лицом, исполняющим его обязанности.</w:t>
      </w:r>
    </w:p>
    <w:p>
      <w:pPr>
        <w:pStyle w:val="Heading2"/>
      </w:pPr>
      <w:r>
        <w:t xml:space="preserve">Пункт 4</w:t>
      </w:r>
    </w:p>
    <w:p>
      <w:r>
        <w:t xml:space="preserve">4. Форма представляется местными исполнительными органами столицы, областей, городов республиканского значения в Министерство национальной экономики Республики Казахстан: ежегодно, не позднее 15 февраля года, следующего за отчетным годом.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Пункт 6</w:t>
      </w:r>
    </w:p>
    <w:p>
      <w:r>
        <w:t xml:space="preserve">6. Форма заполняется по каждому населенному пункту (далее – НП) следующим образом:</w:t>
      </w:r>
    </w:p>
    <w:p>
      <w:r>
        <w:t xml:space="preserve">в графе 1 – указывается номер по порядку;</w:t>
      </w:r>
    </w:p>
    <w:p>
      <w:r>
        <w:t xml:space="preserve">в графе 2 "КАТО" – указывается код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3 "Область" – указывается наименование области согласно национальному Классификатору административно-территориальных объектов (КАТО);</w:t>
      </w:r>
    </w:p>
    <w:p>
      <w:r>
        <w:t xml:space="preserve">в графе 4 "Район" – указывается наименование района согласно национальному Классификатору административно-территориальных объектов (КАТО);</w:t>
      </w:r>
    </w:p>
    <w:p>
      <w:r>
        <w:t xml:space="preserve">в графе 5 "Сельский округ" – указывается наименование сельского округа согласно национальному Классификатору административно-территориальных объектов (КАТО);</w:t>
      </w:r>
    </w:p>
    <w:p>
      <w:r>
        <w:t xml:space="preserve">в графе 6 "Населенный пункт" – указывается наименование конкретного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7 "Категория, статус НП" – указывается категория населенного пункта (город областного значения, город республиканского значения, город районного значения, села) и статус населенного пункта (моногород, приграничный НП, стратегический НП, опорный СНП, спутниковый СНП);</w:t>
      </w:r>
    </w:p>
    <w:p>
      <w:r>
        <w:t xml:space="preserve">в графе 8 "Численность населения" указывается актуальная численность населения, проживающая на территории НП;</w:t>
      </w:r>
    </w:p>
    <w:p>
      <w:r>
        <w:t xml:space="preserve">в графе 9 – указывается обеспеченность СРС по направлению "Инженерная инфраструктура" с учетом рекомендуемых объектов и услуг (благ);</w:t>
      </w:r>
    </w:p>
    <w:p>
      <w:r>
        <w:t xml:space="preserve">в графе 10 - указывается обеспеченность СРС по направлению "Инженерная инфраструктура" без учета рекомендуемых объектов и услуг (благ);</w:t>
      </w:r>
    </w:p>
    <w:p>
      <w:r>
        <w:t xml:space="preserve">в графе 11 – указывается обеспеченность объектом и услугой (благом) "Электроснабжение", согласно формуле 11 пункта 5 настоящих Правил;</w:t>
      </w:r>
    </w:p>
    <w:p>
      <w:r>
        <w:t xml:space="preserve">в графах 12 – 16 – указывается обеспеченность электроснабжением (расчет по количеству подключенных жилых домов), протяженность сетей электроснабжения, степень износа сетей электроснабжения, протяженность сетей электроснабжения, которые нуждаются в замене, потребность в строительстве новых сетей электроснабжения;</w:t>
      </w:r>
    </w:p>
    <w:p>
      <w:r>
        <w:t xml:space="preserve">в графе 17 – указываются необходимые объемы финансирования из бюджета на приведение объектов в соответствие СРС, млн. теңге, (заполняется при необходимости);</w:t>
      </w:r>
    </w:p>
    <w:p>
      <w:r>
        <w:t xml:space="preserve">в графе 18 – указывается 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необходимости);</w:t>
      </w:r>
    </w:p>
    <w:p>
      <w:r>
        <w:t xml:space="preserve">в графе 19 – указывается уровень обеспеченности объектом и услугой (благом) "Услуги водоснабжения", согласно формуле 12 пункта 5 настоящих Правил;</w:t>
      </w:r>
    </w:p>
    <w:p>
      <w:r>
        <w:t xml:space="preserve">в графах 20 – 31 – указывается обеспеченность услугами водоснабжения (по численности населения), наличие централизованного водоснабжения, доля жилых домов, подключенных к централизованному водоснабжению, общее количество домов, протяженность сетей централизованного водоснабжения, степень износа сетей централизованного водоснабжения, протяженность сетей централизованного водоснабжения, которые нуждаются в замене, потребность в строительстве новых сетей водоснабжения, децентрализованное водоснабжение, наличие комплексных блок-модулей, привозной воды, скважин, колодцев;</w:t>
      </w:r>
    </w:p>
    <w:p>
      <w:r>
        <w:t xml:space="preserve">в графе 32 – указываются необходимые объемы финансирования из бюджета на приведение объектов в соответствие СРС, млн. теңге, (заполняется при необходимости);</w:t>
      </w:r>
    </w:p>
    <w:p>
      <w:r>
        <w:t xml:space="preserve">в графе 33 – указывается 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необходимости);</w:t>
      </w:r>
    </w:p>
    <w:p>
      <w:r>
        <w:t xml:space="preserve">в графе 34 – указывается уровень обеспеченности объектом и услугой (благом) "Система централизованного водоотведения", согласно формуле 13 пункта 5 настоящих Правил;</w:t>
      </w:r>
    </w:p>
    <w:p>
      <w:r>
        <w:t xml:space="preserve">в графах 35 – 42 – указывается обеспеченность централизованным водоотведением (по численности населения), общая протяженность сетей водоотведения внутри населенного пункта, степень износа сетей водоотведения, протяженность сетей водоотведения, которые нуждаются в замене, потребность в строительстве новых сетей водоотведения, количество канализационно-очистных сооружений, степень износа канализационно-очистных сооружений, потребность в строительстве канализационно-очистных сооружений;</w:t>
      </w:r>
    </w:p>
    <w:p>
      <w:r>
        <w:t xml:space="preserve">в графе 43 – указываются необходимые объемы финансирования из бюджета на приведение объектов в соответствие СРС, млн. теңге, (заполняется при необходимости);</w:t>
      </w:r>
    </w:p>
    <w:p>
      <w:r>
        <w:t xml:space="preserve">в графе 44 – указывается 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необходимости);</w:t>
      </w:r>
    </w:p>
    <w:p>
      <w:r>
        <w:t xml:space="preserve">в графе 45 "Обеспеченность объектом и услугой (благом) "Централизованное теплоснабжение" – указывается обеспеченность населенного пункта объектом и услугой (благом) "Централизованное теплоснабжение", согласно формуле 14 пункта 5 настоящих Правил;</w:t>
      </w:r>
    </w:p>
    <w:p>
      <w:r>
        <w:t xml:space="preserve">в графе 46 "Обеспеченность централизованным теплоснабжением (расчет по количеству подключенных жилых домов)" – указывается обеспеченность населенного пункта централизованным теплоснабжением, рассчитанная по количеству подключенных жилых домов;</w:t>
      </w:r>
    </w:p>
    <w:p>
      <w:r>
        <w:t xml:space="preserve">в графе 47 "Общая протяженность сетей теплоснабжения внутри населенного пункта" – указывается общая протяженность сетей теплоснабжения внутри населенного пункта;</w:t>
      </w:r>
    </w:p>
    <w:p>
      <w:r>
        <w:t xml:space="preserve">в графе 48 "Степень износа сетей теплоснабжения" – указывается степень износа сетей теплоснабжения;</w:t>
      </w:r>
    </w:p>
    <w:p>
      <w:r>
        <w:t xml:space="preserve">в графе 49 "Протяженность сетей теплоснабжения, которые нуждаются в замене" – указывается протяженность сетей теплоснабжения в населенном пункте, которые нуждаются в замене;</w:t>
      </w:r>
    </w:p>
    <w:p>
      <w:r>
        <w:t xml:space="preserve">в графе 50 "Потребность в строительстве новых сетей теплоснабжения внутри населенного пункта" – указывается потребность в строительстве новых сетей теплоснабжения внутри населенного пункта;</w:t>
      </w:r>
    </w:p>
    <w:p>
      <w:r>
        <w:t xml:space="preserve">в графе 51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Системе региональных стандартов в млн. теңге. Данная графа заполняется при несоответствии объектов;</w:t>
      </w:r>
    </w:p>
    <w:p>
      <w:r>
        <w:t xml:space="preserve">в графе 52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"Централизованное теплоснабжение". Данная графа заполняется при необходимости;</w:t>
      </w:r>
    </w:p>
    <w:p>
      <w:r>
        <w:t xml:space="preserve">в графе 53 "Обеспеченность объектом и услугой (благом) "Централизованное газоснабжение*"" – указывается обеспеченность населенного пункта объектом и услугой (благом) "Централизованное газоснабжение*", согласно формуле 15 пункта 5 настоящих Правил;</w:t>
      </w:r>
    </w:p>
    <w:p>
      <w:r>
        <w:t xml:space="preserve">в графе 54 "Обеспеченность централизованным газоснабжением* (расчет по численности населения)" – указывается уровень обеспеченности централизованным газоснабжением, рассчитанная по численности населения;</w:t>
      </w:r>
    </w:p>
    <w:p>
      <w:r>
        <w:t xml:space="preserve">в графе 55 "Общая протяженность сетей газоснабжения внутри населенного пункта*" – указывается общая протяженность сетей газоснабжения внутри населенного пункта;</w:t>
      </w:r>
    </w:p>
    <w:p>
      <w:r>
        <w:t xml:space="preserve">в графе 56 "Степень износа сетей газоснабжения*" – указывается степень износа сетей газоснабжения в населенном пункте;</w:t>
      </w:r>
    </w:p>
    <w:p>
      <w:r>
        <w:t xml:space="preserve">в графе 57 "Протяженность газопроводных сетей, которые нуждаются в замене*" – указывается протяженность газопроводных сетей в населенном пункте, которые нуждаются в замене;</w:t>
      </w:r>
    </w:p>
    <w:p>
      <w:r>
        <w:t xml:space="preserve">в графе 58 "Потребность в строительстве новых сетей газоснабжения*" – указывается потребность населенного пункта в строительстве новых сетей газоснабжения;</w:t>
      </w:r>
    </w:p>
    <w:p>
      <w:r>
        <w:t xml:space="preserve">в графе 59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60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"Централизованное газоснабжение*". Данная графа заполняется при необходимости;</w:t>
      </w:r>
    </w:p>
    <w:p>
      <w:r>
        <w:t xml:space="preserve">в графе 61 "Обеспеченность объектом и услугой (благом) "Жилой фонд" – указывается обеспеченность населенного пункта объектом и услугой (благом) "Жилой фонд", согласно формуле 16 пункта 5 настоящих Правил;</w:t>
      </w:r>
    </w:p>
    <w:p>
      <w:r>
        <w:t xml:space="preserve">в графе 62 "Общая площадь жилого фонда" – указывается общая площадь жилого фонда в населенном пункте;</w:t>
      </w:r>
    </w:p>
    <w:p>
      <w:r>
        <w:t xml:space="preserve">в графе 63 "Средняя обеспеченность жильем на 1 человека" – указывается средняя обеспеченность жильем на 1 человека по населенному пункту;</w:t>
      </w:r>
    </w:p>
    <w:p>
      <w:r>
        <w:t xml:space="preserve">в графе 64 "Площадь аварийного и ветхого жилья" – указывается площадь аварийного и ветхого жилья в населенном пункте;</w:t>
      </w:r>
    </w:p>
    <w:p>
      <w:r>
        <w:t xml:space="preserve">в графе 65 "Потребность в строительстве новой жилой площади" – заполняется потребность населенного пункта в строительстве новой жилой площади;</w:t>
      </w:r>
    </w:p>
    <w:p>
      <w:r>
        <w:t xml:space="preserve">в графе 66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67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"Жилой фонд". Данная графа заполняется при необходимости.</w:t>
      </w:r>
    </w:p>
    <w:p>
      <w:r>
        <w:t xml:space="preserve">|  | Приложение 2 к приказу Заместитель Премьер- Министра – Министр национальной экономики Республики Казахстан от 2 июля 2026 года № 99 |</w:t>
      </w:r>
    </w:p>
    <w:p>
      <w:r>
        <w:t xml:space="preserve">|---|---|</w:t>
      </w:r>
    </w:p>
    <w:p>
      <w:r>
        <w:t xml:space="preserve">|  |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"Обеспечение безопасности и защиты окружающей среды"" 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формы, предназначенной для сбора административных данных "Информация по показателям, применяемым при расчете обе спеченности объектами и услугами (благами) Системы региональных стандартов по направлению "Обеспечение безопасности и защиты окружающей среды"" (Индекс: № СРС – 09, периодичность – 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"Обеспечение безопасности и защиты окружающей среды""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местными исполнительными органами столицы, областей, городов республиканского значения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или лицом, исполняющим его обязанности.</w:t>
      </w:r>
    </w:p>
    <w:p>
      <w:pPr>
        <w:pStyle w:val="Heading2"/>
      </w:pPr>
      <w:r>
        <w:t xml:space="preserve">Пункт 4</w:t>
      </w:r>
    </w:p>
    <w:p>
      <w:r>
        <w:t xml:space="preserve">4. Форма представляется местными исполнительными органами столицы, областей, городов республиканского значения в Министерство национальной экономики Республики Казахстан: ежегодно, не позднее 15 февраля года, следующего за отчетным годом.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Форма заполняется по каждому населенному пункту (далее – НП) следующим образом:</w:t>
      </w:r>
    </w:p>
    <w:p>
      <w:r>
        <w:t xml:space="preserve">в графе 1 – указывается номер по порядку;</w:t>
      </w:r>
    </w:p>
    <w:p>
      <w:r>
        <w:t xml:space="preserve">в графе 2 "КАТО" – указывается код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3 "Область" – указывается наименование области согласно национальному Классификатору административно-территориальных объектов (КАТО);</w:t>
      </w:r>
    </w:p>
    <w:p>
      <w:r>
        <w:t xml:space="preserve">в графе 4 "Район" – указывается наименование района согласно национальному Классификатору административно-территориальных объектов (КАТО);</w:t>
      </w:r>
    </w:p>
    <w:p>
      <w:r>
        <w:t xml:space="preserve">в графе 5 "Сельский округ" – указывается наименование сельского округа согласно национальному Классификатору административно-территориальных объектов (КАТО);</w:t>
      </w:r>
    </w:p>
    <w:p>
      <w:r>
        <w:t xml:space="preserve">в графе 6 "Населенный пункт" – указывается наименование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7 "Категория, статус НП" – указывается категория населенного пункта (город областного значения, город республиканского значения, , город районного значения, села) и статус населенного пункта (моногород, приграничный НП, стратегический НП, центр сельского округа, опорный СНП, спутниковый СНП, поселок);</w:t>
      </w:r>
    </w:p>
    <w:p>
      <w:r>
        <w:t xml:space="preserve">в графе 8 "Численность населения" – указывается актуальная численность населения, проживающая на территории НП;</w:t>
      </w:r>
    </w:p>
    <w:p>
      <w:r>
        <w:t xml:space="preserve">в графе 9 "Обеспеченность СРС по направлению "Обеспечение безопасности и защиты окружающей среды" с учетом рекомендуемых объектов и услуг (благ) - указывается обеспеченность населенного пункта по направлению "Обеспечение безопасности и защиты окружающей среды" объектами безопасности и защиты окружающей среды с учетом рекомендуемых объектов и услуг (благ);</w:t>
      </w:r>
    </w:p>
    <w:p>
      <w:r>
        <w:t xml:space="preserve">в графе 10 "Обеспеченность СРС по направлению "Обеспечение безопасности и защиты окружающей среды" без учета рекомендуемых объектов и услуг (благ) - указывается обеспеченность населенного пункта по направлению "Обеспечение безопасности и защиты окружающей среды" объектами безопасности и защиты окружающей среды без учета рекомендуемых объектов и услуг (благ);</w:t>
      </w:r>
    </w:p>
    <w:p>
      <w:r>
        <w:t xml:space="preserve">в графе 11 "Обеспеченность объектом и услугой (благом) "Участковый пункт полиции" – указывается обеспеченность населенного пункта объектом и услугой (благом) "Участковый пункт полиции", согласно формуле 1 пункта 5 настоящих Правил;</w:t>
      </w:r>
    </w:p>
    <w:p>
      <w:r>
        <w:t xml:space="preserve">в графе 12 "Общее количество участковых пунктов полиции" – указывается количество участковых пунктов полиции в населенном пункте;</w:t>
      </w:r>
    </w:p>
    <w:p>
      <w:r>
        <w:t xml:space="preserve">в графе 13 "Количество пунктов полиции, требующих капитального ремонта" – указывается общее количество участковых пунктов полиции в населенном пункте, требующих проведения капитального ремонта;</w:t>
      </w:r>
    </w:p>
    <w:p>
      <w:r>
        <w:t xml:space="preserve">в графе 14 "Количество пунктов полиции в аварийном состоянии" – указывается количество объектов в аварийном состоянии;</w:t>
      </w:r>
    </w:p>
    <w:p>
      <w:r>
        <w:t xml:space="preserve">в графе 15 "Потребность в строительстве пунктов полиции" – указывается необходимое количество участковых пунктов полиции, которое требуется построить в населенном пункте;</w:t>
      </w:r>
    </w:p>
    <w:p>
      <w:r>
        <w:t xml:space="preserve">в графе 16 "Количество пунктов полиции, требующих укомплектования МТБ" – указывается количество участковых пунктов полиции в населенном пункте, требующих укомплектования МТБ;</w:t>
      </w:r>
    </w:p>
    <w:p>
      <w:r>
        <w:t xml:space="preserve">в графе 17 "Дефицит кадров" – указывается дефицит кадров в пунктах полиции;</w:t>
      </w:r>
    </w:p>
    <w:p>
      <w:r>
        <w:t xml:space="preserve">в графе 18 "Охват населения обслуживанием участковым пунктом полиции" – указывается доля населения населенного пункта, охваченного услугой "Участковый пункт полиции";</w:t>
      </w:r>
    </w:p>
    <w:p>
      <w:r>
        <w:t xml:space="preserve">в графе 19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20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"Участковый пункт полиции". Данная графа заполняется при необходимости;</w:t>
      </w:r>
    </w:p>
    <w:p>
      <w:r>
        <w:t xml:space="preserve">в графе 21 "Обеспеченность объектом и услугой (благом) "Обеспечение безопасности населения путем внедрения видеонаблюдения на социально значимых объектах*"" – указывается обеспеченность населенного пункта объектом и услугой (благом) "Обеспечение безопасности населения путем внедрения видеонаблюдения на социально значимых объектах*", согласно пункту 5 настоящих Правил;</w:t>
      </w:r>
    </w:p>
    <w:p>
      <w:r>
        <w:t xml:space="preserve">в графе 22 "Наличие камер видеонаблюдения на социально значимых объектах*" – указывается наличие либо отсутствие в населенном пункте камер видеонаблюдения на социально значимых объектах;</w:t>
      </w:r>
    </w:p>
    <w:p>
      <w:r>
        <w:t xml:space="preserve">в графе 23 "Обеспеченность объектом и услугой (благом) "Подразделение противопожарной службы/ пожарные посты или добровольные пожарные формирования" – указывается обеспеченность населенного пункта объектом и услугой (благом) "Подразделение противопожарной службы/пожарные посты или добровольные пожарные формирования", согласно формуле 18 пункта 5 настоящих Правил;</w:t>
      </w:r>
    </w:p>
    <w:p>
      <w:r>
        <w:t xml:space="preserve">в графе 24 "Общее количество подразделений противопожарной службы" – указывается общее количество подразделений противопожарной службы в населенном пункте;</w:t>
      </w:r>
    </w:p>
    <w:p>
      <w:r>
        <w:t xml:space="preserve">в графе 25 "Потребность в строительстве подразделений противопожарной службы" – указывается количество подразделений противопожарной службы, в которых имеется потребность в строительстве в населенном пункте;</w:t>
      </w:r>
    </w:p>
    <w:p>
      <w:r>
        <w:t xml:space="preserve">в графе 26 "Количество подразделений противопожарной службы, соответствующих государственным стандартам" – указывается общее количество подразделений противопожарной службы в населенном пункте, соответствующих государственным стандартам;</w:t>
      </w:r>
    </w:p>
    <w:p>
      <w:r>
        <w:t xml:space="preserve">в графе 27 "Доля объектов, которые находятся в аварийном состоянии или требуют капитального ремонта" – указывается удельный вес объектов, находящихся в аварийном состоянии, или требуют капитального ремонта;</w:t>
      </w:r>
    </w:p>
    <w:p>
      <w:r>
        <w:t xml:space="preserve">в графе 28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29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"Подразделение противопожарной службы/ пожарные посты или добровольные пожарные формирования". Данная графа заполняется при необходимости;</w:t>
      </w:r>
    </w:p>
    <w:p>
      <w:r>
        <w:t xml:space="preserve">в графе 30 "Обеспеченность объектом и услугой (благом) "Пожарные посты или добровольные пожарные формирования" – указывается обеспеченность населенного пункта объектом и услугой (благом) "Пожарные посты или добровольные пожарные формирования", согласно формуле 19 пункта 5 настоящих Правил;</w:t>
      </w:r>
    </w:p>
    <w:p>
      <w:r>
        <w:t xml:space="preserve">в графе 31 "Общее количество пожарных постов или добровольных пожарных формирований" – указывается общее количество пожарных постов или добровольных пожарных формирований;</w:t>
      </w:r>
    </w:p>
    <w:p>
      <w:r>
        <w:t xml:space="preserve">в графе 32 "Потребность в строительстве пожарных постов" – потребность в строительстве пожарных постов;</w:t>
      </w:r>
    </w:p>
    <w:p>
      <w:r>
        <w:t xml:space="preserve">в графе 33 "Количество объектов, требующих укомплектования материально-технической базы" – указывается количество объектов, требующих укомплектования материально-технической базы;</w:t>
      </w:r>
    </w:p>
    <w:p>
      <w:r>
        <w:t xml:space="preserve">в графе 34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35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"Полигоны для захоронения твердых бытовых отходов". Данная графа заполняется при необходимости;</w:t>
      </w:r>
    </w:p>
    <w:p>
      <w:r>
        <w:t xml:space="preserve">в графе 36 "Обеспеченность объектом и услугой (благом) "Полигоны для захоронения твердых бытовых отходов" – указывается обеспеченность населенного пункта объектом и услугой (благом) "Полигоны для захоронения твердых бытовых отходов", согласно формуле 20 пункта 5 настоящих Правил;</w:t>
      </w:r>
    </w:p>
    <w:p>
      <w:r>
        <w:t xml:space="preserve">в графе 37 "Общее количество полигонов для размещения твердых бытовых отходов (свалки)" – указывается количество полигонов для размещения твердых бытовых отходов (свалок) в населенном пункте;</w:t>
      </w:r>
    </w:p>
    <w:p>
      <w:r>
        <w:t xml:space="preserve">в графе 38 "Количество полигонов ТБО, соответствующих экологическим и санитарным требованиям и нормам" – указывается количество полигонов ТБО, соответствующих экологическим и санитарным требованиям и нормам;</w:t>
      </w:r>
    </w:p>
    <w:p>
      <w:r>
        <w:t xml:space="preserve">в графе 39 "Потребность в полигонах для размещения твердых бытовых отходов" – указывается потребность населенного пункта в полигонах для размещения твердых бытовых отходов;</w:t>
      </w:r>
    </w:p>
    <w:p>
      <w:r>
        <w:t xml:space="preserve">в графе 40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41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"Полигоны для захоронения твердых бытовых отходов". Данная графа заполняется при необходимости;</w:t>
      </w:r>
    </w:p>
    <w:p>
      <w:r>
        <w:t xml:space="preserve">в графе 42 "Обеспеченность объектом и услугой (благом) "Мусороперерабатывающий комплекс" – указывается обеспеченность населенного пункта объектом и услугой (благом) "Мусороперерабатывающий комплекс", согласно формуле 21 пункта 5 настоящих Правил;</w:t>
      </w:r>
    </w:p>
    <w:p>
      <w:r>
        <w:t xml:space="preserve">в графе 43 "Общее количество мусороперерабатывающих комплексов" – указывается количество мусороперерабатывающих комплексов в населенном пункте;</w:t>
      </w:r>
    </w:p>
    <w:p>
      <w:r>
        <w:t xml:space="preserve">в графе 44 "Потребность в мусороперерабатывающих комплексах" – указывается потребность населенного пункта в мусороперерабатывающих комплексах;</w:t>
      </w:r>
    </w:p>
    <w:p>
      <w:r>
        <w:t xml:space="preserve">в графе 45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46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объекту "Мусороперерабатывающий комплекс". Данная графа заполняется при необходимости;</w:t>
      </w:r>
    </w:p>
    <w:p>
      <w:r>
        <w:t xml:space="preserve">в графе 47 "Обеспеченность объектом и услугой (благом) "Мусоросортировочный комплекс" – указывается обеспеченность населенного пункта объектом и услугой (благом) "Мусоросортировочный комплекс", согласно формуле 21 пункта 5 настоящих Правил;</w:t>
      </w:r>
    </w:p>
    <w:p>
      <w:r>
        <w:t xml:space="preserve">в графе 48 "Общее количество мусоросортировочных комплексов" – указывается количество мусоросортировочных комплексов в населенном пункте;</w:t>
      </w:r>
    </w:p>
    <w:p>
      <w:r>
        <w:t xml:space="preserve">в графе 49 "Потребность в мусоросортировочных комплексах" – указывается потребность населенного пункта в мусоросортировочных комплексах;</w:t>
      </w:r>
    </w:p>
    <w:p>
      <w:r>
        <w:t xml:space="preserve">в графе 50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51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объекту "Мусоросортировочный комплекс". Данная графа заполняется при необходимости;</w:t>
      </w:r>
    </w:p>
    <w:p>
      <w:r>
        <w:t xml:space="preserve">в графе 52 "Обеспеченность объектом и услугой (благом) "Контейнеры для раздельного сбора твердых бытовых отходов" – указывается обеспеченность населенного пункта объектом и услугой (благом) "Контейнеры для раздельного сбора твердых бытовых отходов", согласно формуле 21 пункта 5 настоящих Правил;</w:t>
      </w:r>
    </w:p>
    <w:p>
      <w:r>
        <w:t xml:space="preserve">в графе 53 "Общее количество контейнеров для раздельного сбора" – указывается количество контейнеров для раздельного сбора в населенном пункте;</w:t>
      </w:r>
    </w:p>
    <w:p>
      <w:r>
        <w:t xml:space="preserve">в графе 54"Потребность в контейнерах для раздельного сбора" – указывается потребность населенного пункта в контейнерах для раздельного сбора;</w:t>
      </w:r>
    </w:p>
    <w:p>
      <w:r>
        <w:t xml:space="preserve">в графе 55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56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объекту "Контейнеры для раздельного сбора твердых бытовых отходов". Данная графа заполняется при необходимости;</w:t>
      </w:r>
    </w:p>
    <w:p>
      <w:r>
        <w:t xml:space="preserve">в графе 57 "Обеспеченность объектом и услугой (благом) "Контейнеры для сбора твердых бытовых отходов" – указывается обеспеченность населенного пункта объектом и услугой (благом) "Контейнеры для сбора твердых бытовых отходов", согласно формуле 21 пункта 5 настоящих Правил;</w:t>
      </w:r>
    </w:p>
    <w:p>
      <w:r>
        <w:t xml:space="preserve">в графе 58 "Общее количество контейнеров для сбора твердых бытовых отходов" – указывается количество контейнеров для сбора твердых бытовых отходов в населенном пункте;</w:t>
      </w:r>
    </w:p>
    <w:p>
      <w:r>
        <w:t xml:space="preserve">в графе 59 "Потребность в контейнерах для сбора твердых бытовых отходов" – указывается потребность населенного пункта в контейнерах для сбора твердых бытовых отходов;</w:t>
      </w:r>
    </w:p>
    <w:p>
      <w:r>
        <w:t xml:space="preserve">в графе 60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61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объекту "Контейнеры для сбора твердых бытовых отходов". Данная графа заполняется при необходимости;</w:t>
      </w:r>
    </w:p>
    <w:p>
      <w:r>
        <w:t xml:space="preserve">в графе 62 "Обеспеченность объектом и услугой (благом) "Пункты приема вторичного сырья" – указывается обеспеченность населенного пункта объектом и услугой (благом) "Пункты приема вторичного сырья", согласно формуле 21 пункта 5 настоящих Правил;</w:t>
      </w:r>
    </w:p>
    <w:p>
      <w:r>
        <w:t xml:space="preserve">в графе 63 "Общее количество пунктов приема вторичного сырья" – указывается количество пунктов приема вторичного сырья в населенном пункте;</w:t>
      </w:r>
    </w:p>
    <w:p>
      <w:r>
        <w:t xml:space="preserve">в графе 64 "Потребность в пунктах приема вторичного сырья" – указывается потребность населенного пункта в пунктах приема вторичного сырья;</w:t>
      </w:r>
    </w:p>
    <w:p>
      <w:r>
        <w:t xml:space="preserve">в графе 65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66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"Пункты приема вторичного сырья". Данная графа заполняется при необходимости;</w:t>
      </w:r>
    </w:p>
    <w:p>
      <w:r>
        <w:t xml:space="preserve">в графе 67 "Обеспеченность объектом и услугой (благом) "Скотомогильники (биотермические ямы)" – указывается обеспеченность населенного пункта объектом и услугой (благом) "Скотомогильники (биотермические ямы)", согласно формуле 22 пункта 5 настоящих Правил;</w:t>
      </w:r>
    </w:p>
    <w:p>
      <w:r>
        <w:t xml:space="preserve">в графе 68 "Общее количество скотомогильников (биотермических ям)" – указывается количество скотомогильников (биотермических ям) в населенном пункте;</w:t>
      </w:r>
    </w:p>
    <w:p>
      <w:r>
        <w:t xml:space="preserve">в графе 69 "Потребность в скотомогильниках (биотермических ямах)" – указывается потребность населенного пункта в скотомогильниках (биотермических ямах);</w:t>
      </w:r>
    </w:p>
    <w:p>
      <w:r>
        <w:t xml:space="preserve">в графе 70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71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объекту "Скотомогильники (биотермические ямы)". Данная графа заполняется при необходимости.</w:t>
      </w:r>
    </w:p>
    <w:p>
      <w:r>
        <w:t xml:space="preserve">|  | Приложение 3 к приказу Заместитель Премьер- Министра – Министр национальной экономики Республики Казахстан от 2 июля 2026 года № 99 |</w:t>
      </w:r>
    </w:p>
    <w:p>
      <w:r>
        <w:t xml:space="preserve">|---|---|</w:t>
      </w:r>
    </w:p>
    <w:p>
      <w:r>
        <w:t xml:space="preserve">|  |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"Инфокоммуникация"" 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 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 Инфокоммуникация "" (Индекс: № СРС – 10, периодичнос ть – 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"Инфокоммуникация""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местными исполнительными органами столицы, областей, городов республиканского значения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или лицом, исполняющим его обязанности.</w:t>
      </w:r>
    </w:p>
    <w:p>
      <w:pPr>
        <w:pStyle w:val="Heading2"/>
      </w:pPr>
      <w:r>
        <w:t xml:space="preserve">Пункт 4</w:t>
      </w:r>
    </w:p>
    <w:p>
      <w:r>
        <w:t xml:space="preserve">4. Форма представляется местными исполнительными органами столицы, областей, городов республиканского значения, в Министерство национальной экономики Республики Казахстан: ежегодно, не позднее 15 февраля года, следующего за отчетным годом.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Форма заполняется по каждому населенному пункту (далее – НП) следующим образом:</w:t>
      </w:r>
    </w:p>
    <w:p>
      <w:r>
        <w:t xml:space="preserve">в графе 1 – указывается номер по порядку;</w:t>
      </w:r>
    </w:p>
    <w:p>
      <w:r>
        <w:t xml:space="preserve">в графе 2 "КАТО" – указывается код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3 "Область" – указывается наименование области согласно национальному Классификатору административно-территориальных объектов (КАТО);</w:t>
      </w:r>
    </w:p>
    <w:p>
      <w:r>
        <w:t xml:space="preserve">в графе 4 "Район" – указывается наименование района согласно национальному Классификатору административно-территориальных объектов (КАТО);</w:t>
      </w:r>
    </w:p>
    <w:p>
      <w:r>
        <w:t xml:space="preserve">в графе 5 "Сельский округ" – указывается наименование сельского округа согласно национальному Классификатору административно-территориальных объектов (КАТО);</w:t>
      </w:r>
    </w:p>
    <w:p>
      <w:r>
        <w:t xml:space="preserve">в графе 6 "Населенный пункт" – указывается наименование конкретного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7 "Категория, статус НП" – указывается категория населенного пункта (город областного значения, город республиканского значения, город районного значения, села) и статус населенного пункта (моногород, приграничный НП, стратегический НП, центр сельского округа, опорный СНП, спутниковый СНП, поселок);</w:t>
      </w:r>
    </w:p>
    <w:p>
      <w:r>
        <w:t xml:space="preserve">в графе 8 "Численность населения" – указывается актуальная численность населения, проживающая на территории НП;</w:t>
      </w:r>
    </w:p>
    <w:p>
      <w:r>
        <w:t xml:space="preserve">в графе 9 "Обеспеченность СРС по направлению "Инфокоммуникация" с учетом рекомендуемых объектов и услуг (благ) - указывается обеспеченность населенного пункта по направлению "Инфокоммуникация" объектами инфокоммуникации с учетом рекомендуемых объектов и услуг (благ);</w:t>
      </w:r>
    </w:p>
    <w:p>
      <w:r>
        <w:t xml:space="preserve">в графе 10 "Обеспеченность СРС по направлению "Инфокоммуникация"/ без учета рекомендуемых объектов и услуг (благ) - указывается обеспеченность населенного пункта по направлению "Инфокоммуникация" объектами инфокоммуникации без учета рекомендуемых объектов и услуг (благ);</w:t>
      </w:r>
    </w:p>
    <w:p>
      <w:r>
        <w:t xml:space="preserve">в графе 11 "Обеспеченность объектом и услугой (благом) "Отделение почтовой связи" – указывается обеспеченность населенного пункта объектом и услугой (благом) "Отделение почтовой связи", согласно формуле 24 пункта 5 настоящих Правил;</w:t>
      </w:r>
    </w:p>
    <w:p>
      <w:r>
        <w:t xml:space="preserve">в графе 12 "Количество отделений почтовой связи" – указывается количество отделений почтовой связи в населенном пункте;</w:t>
      </w:r>
    </w:p>
    <w:p>
      <w:r>
        <w:t xml:space="preserve">в графе 13 "Потребность в отделениях почтовой связи" – указывается потребность населенного пункта в отделениях почтовой связи;</w:t>
      </w:r>
    </w:p>
    <w:p>
      <w:r>
        <w:t xml:space="preserve">в графе 14 "Охват населения почтовыми услугами" – указывается доля населения в населенном пункте, охваченного почтовыми услугами;</w:t>
      </w:r>
    </w:p>
    <w:p>
      <w:r>
        <w:t xml:space="preserve">в графе 15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16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"Отделение почтовой связи". Данная графа заполняется при необходимости;</w:t>
      </w:r>
    </w:p>
    <w:p>
      <w:r>
        <w:t xml:space="preserve">в графе 17 "Обеспеченность объектом и услугой (благом) "Фиксированные телефонные линии" – указывается обеспеченность населенного пункта по объекту "Фиксированные телефонные линии", согласно пункту 5 настоящих Правил;</w:t>
      </w:r>
    </w:p>
    <w:p>
      <w:r>
        <w:t xml:space="preserve">в графе 18 "Наличие телефонной связи" – указывается наличие либо отсутствие в населенном пункте телефонной связи;</w:t>
      </w:r>
    </w:p>
    <w:p>
      <w:r>
        <w:t xml:space="preserve">в графе 19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20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"Фиксированные телефонные линии". Данная графа заполняется при необходимости;</w:t>
      </w:r>
    </w:p>
    <w:p>
      <w:r>
        <w:t xml:space="preserve">в графе 21 "Обеспеченность объектом и услугой (благом) "Широкополосный доступ к сети интернет" – указывается обеспеченность населенного пункта объектом и услугой (благом) "Широкополосный доступ к сети интернет", согласно пункту 5 настоящих Правил;</w:t>
      </w:r>
    </w:p>
    <w:p>
      <w:r>
        <w:t xml:space="preserve">в графе 22 "Наличие широкополосного доступа к сети интернет" – указывается наличие либо отсутствие в населенном пункте широкополосного доступа к сети интернет;</w:t>
      </w:r>
    </w:p>
    <w:p>
      <w:r>
        <w:t xml:space="preserve">в графе 23 "Скорость Интернет-соединения (100 МБ, 50 МБ)" – указываются данные о скорости Интернет-соединения (100 МБ, 50 МБ) в населенном пункте;</w:t>
      </w:r>
    </w:p>
    <w:p>
      <w:r>
        <w:t xml:space="preserve">в графе 24 "Охват населения Интернет сетью" – указывается количество населения в населенном пункте, охваченного Интернетсетью;</w:t>
      </w:r>
    </w:p>
    <w:p>
      <w:r>
        <w:t xml:space="preserve">в графе 25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26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"Охват населения Интернет сетью". Данная графа заполняется при необходимости;</w:t>
      </w:r>
    </w:p>
    <w:p>
      <w:r>
        <w:t xml:space="preserve">в графе 27 "Обеспеченность объектом и услугой (благом) "Сотовая связь (передача голоса)" – указывается обеспеченность населенного пункта объектом и услугой (благом) "Сотовая связь (передача голоса)", согласно пункту 5 настоящих Правил;</w:t>
      </w:r>
    </w:p>
    <w:p>
      <w:r>
        <w:t xml:space="preserve">в графе 28 "Наличие сотовой связи" – указывается наличие либо отсутствие в населенном пункте сотовой связи;</w:t>
      </w:r>
    </w:p>
    <w:p>
      <w:r>
        <w:t xml:space="preserve">в графе 29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30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"Сотовая связь (передача голоса)". Данная графа заполняется при необходимости;</w:t>
      </w:r>
    </w:p>
    <w:p>
      <w:r>
        <w:t xml:space="preserve">в графе 31 "Обеспеченность объектом и услугой (благом) "Wi-Fi зона с открытым доступом*"" – указывается обеспеченность населенного пункта объектом и услугой (благом) "Wi-Fi зона с открытым доступом*", согласно пункту 5 настоящих Правил;</w:t>
      </w:r>
    </w:p>
    <w:p>
      <w:r>
        <w:t xml:space="preserve">в графе 32 "Наличие Wi-Fi зоны с открытым доступом" – указывается наличие либо отсутствие в населенном пункте Wi-Fi зоны с открытым доступом.</w:t>
      </w:r>
    </w:p>
    <w:p>
      <w:r>
        <w:t xml:space="preserve">|  | Приложение 4 к приказу Заместитель Премьер- Министра – Министр национальной экономики Республики Казахстан от 2 июля 2026 года № 99 |</w:t>
      </w:r>
    </w:p>
    <w:p>
      <w:r>
        <w:t xml:space="preserve">|---|---|</w:t>
      </w:r>
    </w:p>
    <w:p>
      <w:r>
        <w:t xml:space="preserve">|  |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(благами)/ Системы региональных стандартов по направлению "Инфраструктура бытового и ветеринарного обслуживания"" 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"Инфраструктура бытового и ветеринарного об служивания"" (Индекс: № СРС – 11, периодичность – 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"Инфраструктура бытового и ветеринарного обслуживания""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местными исполнительными органами столицы, областей, городов республиканского значения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или лицом, исполняющим его обязанности.</w:t>
      </w:r>
    </w:p>
    <w:p>
      <w:pPr>
        <w:pStyle w:val="Heading2"/>
      </w:pPr>
      <w:r>
        <w:t xml:space="preserve">Пункт 4</w:t>
      </w:r>
    </w:p>
    <w:p>
      <w:r>
        <w:t xml:space="preserve">4. Форма представляется местными исполнительными органами столицы, областей, городов республиканского значения в Министерство национальной экономики Республики Казахстан: ежегодно, не позднее 15 февраля года, следующего за отчетным годом.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Форма заполняется по каждому населенному пункту (далее – НП) следующим образом:</w:t>
      </w:r>
    </w:p>
    <w:p>
      <w:r>
        <w:t xml:space="preserve">в графе 1 – указывается номер по порядку;</w:t>
      </w:r>
    </w:p>
    <w:p>
      <w:r>
        <w:t xml:space="preserve">в графе 2 "КАТО" – указывается код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3 "Область" – указывается наименование области согласно национальному Классификатору административно-территориальных объектов (КАТО);</w:t>
      </w:r>
    </w:p>
    <w:p>
      <w:r>
        <w:t xml:space="preserve">в графе 4 "Район" – указывается наименование района согласно национальному Классификатору административно-территориальных объектов (КАТО);</w:t>
      </w:r>
    </w:p>
    <w:p>
      <w:r>
        <w:t xml:space="preserve">в графе 5 "Сельский округ" – указывается наименование сельского округа согласно национальному Классификатору административно-территориальных объектов (КАТО);</w:t>
      </w:r>
    </w:p>
    <w:p>
      <w:r>
        <w:t xml:space="preserve">в графе 6 "Населенный пункт" – указывается наименование конкретного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7 "Категория, статус НП" – указывается категория населенного пункта (город областного значения, город республиканского значения, город районного значения, села) и статус населенного пункта (моногород, приграничный НП, стратегический НП, опорный СНП, спутниковый СНП);</w:t>
      </w:r>
    </w:p>
    <w:p>
      <w:r>
        <w:t xml:space="preserve">в графе 8 "Численность населения" – указывается актуальная численность населения, проживающая на территории НП;</w:t>
      </w:r>
    </w:p>
    <w:p>
      <w:r>
        <w:t xml:space="preserve">в графе 9 "Обеспеченность СРС по направлению "Инфраструктура бытового и ветеринарного обслуживания"/ с учетом рекомендуемых объектов и услуг (благ) - указывается обеспеченность населенного пункта по направлению "Инфраструктура бытового и ветеринарного обслуживания" объектами инфраструктуры бытового и ветеринарного обслуживания с учетом рекомендуемых объектов и услуг (благ);</w:t>
      </w:r>
    </w:p>
    <w:p>
      <w:r>
        <w:t xml:space="preserve">в графе 10 "Обеспеченность СРС по направлению "Инфраструктура бытового и ветеринарного обслуживания"/ без учета рекомендуемых объектов и услуг (благ) - указывается обеспеченность населенного пункта по направлению "Инфраструктура бытового и ветеринарного обслуживания" объектами инфраструктуры бытового и ветеринарного обслуживания без учета рекомендуемых объектов и услуг (благ);</w:t>
      </w:r>
    </w:p>
    <w:p>
      <w:r>
        <w:t xml:space="preserve">в графе 11 "Обеспеченность объектом и услугой (благом) "Предприятия бытового обслуживания* (прачечные, химчистки, общественные бани, общественные туалеты)" – указывается обеспеченность населенного пункта объектом и услугой (благом) "Предприятия бытового обслуживания* (прачечные, химчистки, общественные бани, общественные туалеты)", согласно пункту 5 настоящих Правил;</w:t>
      </w:r>
    </w:p>
    <w:p>
      <w:r>
        <w:t xml:space="preserve">в графе 12 "Количество предприятий бытового обслуживания*" – указывается количество предприятий бытового обслуживания в населенном пункте;</w:t>
      </w:r>
    </w:p>
    <w:p>
      <w:r>
        <w:t xml:space="preserve">в графе 13 "Доля объектов бытового обслуживания, которые требуют капитального ремонта*" – указывается удельный вес объектов бытового обслуживания, которые требуют капитального ремонта от общего количества объектов бытового обслуживания в населенном пункте;</w:t>
      </w:r>
    </w:p>
    <w:p>
      <w:r>
        <w:t xml:space="preserve">в графе 14 "Обеспеченность объектом и услугой (благом) "Объекты торговли* (магазины продовольственных товаров, магазины промышленных товаров, торговые павильоны для ведения уличной торговли, фудмаркеты, предприятия общественного питания, магазины кулинарии)"" – указывается обеспеченность населенного пункта объектом и услугой (благом) "Объекты торговли* (магазины продовольственных товаров, магазины промышленных товаров, торговые павильоны для ведения уличной торговли, фудмаркеты, предприятия общественного питания, магазины кулинарии)"", согласно пункту 5 настоящих Правил;</w:t>
      </w:r>
    </w:p>
    <w:p>
      <w:r>
        <w:t xml:space="preserve">в графе 15 "Количество объектов торговли*" – указывается общее количество объектов торговли в населенном пункте;</w:t>
      </w:r>
    </w:p>
    <w:p>
      <w:r>
        <w:t xml:space="preserve">в графе 16 "Обеспеченность объектом и услугой (благом) "Государственные ветеринарные организации/ветеринарных пунктов" – указывается обеспеченность населенного пункта объектом и услугой (благом) "Государственные ветеринарные организации*", согласно формуле 26 пункта 5 настоящих Правил;</w:t>
      </w:r>
    </w:p>
    <w:p>
      <w:r>
        <w:t xml:space="preserve">в графе 17 "Общее количество ветеринарных организаций*/ветеринарных пунктов" – указывается общее количество ветеринарных организаций/ветеринарных пунктов в населенном пункте;</w:t>
      </w:r>
    </w:p>
    <w:p>
      <w:r>
        <w:t xml:space="preserve">в графе 18 "Количество ветеринарных организаций/ветеринарных пунктов, требующих капитального ремонта - указывается количество ветеринарных организаций/ветеринарных пунктов в населенном пункте, требующих капитального ремонта;</w:t>
      </w:r>
    </w:p>
    <w:p>
      <w:r>
        <w:t xml:space="preserve">в графе 19 "Количество ветеринарных организаций/ветеринарных пунктов в аварийном состоянии" – указывается количество ветеринарных организаций/ветеринарных пунктов, находящихся в аварийном состоянии;</w:t>
      </w:r>
    </w:p>
    <w:p>
      <w:r>
        <w:t xml:space="preserve">в графе 20 "Потребность в строительстве новых ветеринарных организаций/ветеринарных пунктов" – указывается необходимая потребность населенного пункта в строительстве новых ветеринарных организаций/ветеринарных пунктов;</w:t>
      </w:r>
    </w:p>
    <w:p>
      <w:r>
        <w:t xml:space="preserve">в графе 21 "Количество ветеринарных организаций/ветеринарных пунктов, требующих укомплектования МТБ" – указывается общее количество ветеринарных организаций/ветеринарных пунктов в населенном пункте, требующих укомплектования МТБ;</w:t>
      </w:r>
    </w:p>
    <w:p>
      <w:r>
        <w:t xml:space="preserve">в графе 22 "Дефицит кадров" – указывается дефицит кадров в ветеринарных объектах населенного пункта;</w:t>
      </w:r>
    </w:p>
    <w:p>
      <w:r>
        <w:t xml:space="preserve">в графе 23 "Необходимые объемы финансирования из бюджета на приведение объектов в соответствие Системе региональных стандартов,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Системе региональных стандартов в млн. теңге. Данная графа заполняется при несоответствии объектов;</w:t>
      </w:r>
    </w:p>
    <w:p>
      <w:r>
        <w:t xml:space="preserve">в графе 24 "Потребность в строительстве новых объектов согласно Системе региональных стандартов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"Государственные ветеринарные организации*/ветеринарных пунктов". Данная графа заполняется при необходимости.</w:t>
      </w:r>
    </w:p>
    <w:p>
      <w:r>
        <w:t xml:space="preserve">|  | Приложение 5 к приказу Заместитель Премьер- Министра – Министр национальной экономики Республики Казахстан от 2 июля 2026 года № 99 |</w:t>
      </w:r>
    </w:p>
    <w:p>
      <w:r>
        <w:t xml:space="preserve">|---|---|</w:t>
      </w:r>
    </w:p>
    <w:p>
      <w:r>
        <w:t xml:space="preserve">|  | Приложение к форме,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"Инфраструктура услуг"" 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формы, предназначенной для сбора административных данных "Информация по показателям, применяемым при расчете обеспеченности объектами и услугами (благами) Системы региональных стандартов по направлению "Инфраструктура услуг"" (Индекс: № СРС – 12, периодичность – годовая)</w:t>
      </w:r>
    </w:p>
    <w:p>
      <w:pPr>
        <w:pStyle w:val="Heading2"/>
      </w:pPr>
      <w:r>
        <w:t xml:space="preserve">Глава 1 Общие по 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"Информация по показателям, применяемым при расчете обеспеченности объектами и услугами (благами) СРС по направлению "Инфраструктура услуг""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местными исполнительными органами столицы, областей, городов республиканского значения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или лицом, исполняющим его обязанности.</w:t>
      </w:r>
    </w:p>
    <w:p>
      <w:pPr>
        <w:pStyle w:val="Heading2"/>
      </w:pPr>
      <w:r>
        <w:t xml:space="preserve">Пункт 4</w:t>
      </w:r>
    </w:p>
    <w:p>
      <w:r>
        <w:t xml:space="preserve">4. Форма представляется местными исполнительными органами столицы, областей, городов республиканского значения в Министерство национальной экономики Республики Казахстан: ежегодно, не позднее 15 февраля года, следующего за отчетным годом.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казахском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Форма заполняется по каждому населенному пункту (далее – НП) следующим образом:</w:t>
      </w:r>
    </w:p>
    <w:p>
      <w:r>
        <w:t xml:space="preserve">в графе 1 – указывается номер по порядку;</w:t>
      </w:r>
    </w:p>
    <w:p>
      <w:r>
        <w:t xml:space="preserve">в графе 2 "КАТО" – указывается код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3 "Область" – указывается наименование области согласно национальному Классификатору административно-территориальных объектов (КАТО);</w:t>
      </w:r>
    </w:p>
    <w:p>
      <w:r>
        <w:t xml:space="preserve">в графе 4 "Район" – указывается наименование района согласно национальному Классификатору административно-территориальных объектов (КАТО);</w:t>
      </w:r>
    </w:p>
    <w:p>
      <w:r>
        <w:t xml:space="preserve">в графе 5 "Сельский округ" – указывается наименование сельского округа согласно национальному Классификатору административно-территориальных объектов (КАТО);</w:t>
      </w:r>
    </w:p>
    <w:p>
      <w:r>
        <w:t xml:space="preserve">в графе 6 "Населенный пункт" – указывается наименование конкретного населенного пункта согласно национальному Классификатору административно-территориальных объектов (КАТО);</w:t>
      </w:r>
    </w:p>
    <w:p>
      <w:r>
        <w:t xml:space="preserve">в графе 7 "Категория, статус НП" – указывается категория населенного пункта (город областного значения, город республиканского значения, город районного значения, села) и статус населенного пункта (моногород, приграничный НП, стратегический НП, центр сельского округа, опорный СНП, спутниковый СНП, поселок), опорный СНП, спутниковый СНП);</w:t>
      </w:r>
    </w:p>
    <w:p>
      <w:r>
        <w:t xml:space="preserve">в графе 8 "Численность населения" – указывается актуальная численность населения, проживающая на территории НП;</w:t>
      </w:r>
    </w:p>
    <w:p>
      <w:r>
        <w:t xml:space="preserve">в графе 9 "Обеспеченность СРС по направлению "Инфраструктура услуг"/ с учетом рекомендуемых объектов и услуг (благ) - указывается обеспеченность населенного пункта по направлению "Инфраструктура услуг" объектами инфраструктуры услуг с учетом рекомендуемых объектов и услуг (благ);</w:t>
      </w:r>
    </w:p>
    <w:p>
      <w:r>
        <w:t xml:space="preserve">в графе 10 "Обеспеченность СРС по направлению "Инфраструктура услуг"/ без учета рекомендуемых объектов и услуг (благ) - указывается обеспеченность населенного пункта по направлению "Инфраструктура услуг" объектами инфраструктуры услуг без учета рекомендуемых объектов и услуг (благ);</w:t>
      </w:r>
    </w:p>
    <w:p>
      <w:r>
        <w:t xml:space="preserve">в графе 11 "Обеспеченность объектом и услугой (благом) "Отдел НАО "Государственная корпорация "Правительство для граждан" – указывается обеспеченность населенного пункта объектом и услугой (благом) "Отдел НАО "Государственная корпорация "Правительство для граждан", согласно пункту 5 настоящих Правил;</w:t>
      </w:r>
    </w:p>
    <w:p>
      <w:r>
        <w:t xml:space="preserve">в графе 12 "Наличие филиалов НАО "Государственная корпорация "Правительство для граждан" – указывается наличие либо отсутствие в населенном пункте филиалов "Правительство для граждан";</w:t>
      </w:r>
    </w:p>
    <w:p>
      <w:r>
        <w:t xml:space="preserve">в графе 13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14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объекту "Отдел НАО "Государственная корпорация "Правительство для граждан";</w:t>
      </w:r>
    </w:p>
    <w:p>
      <w:r>
        <w:t xml:space="preserve">в графе 15 "Обеспеченность объектом и услугой (благом) услугой "Центр обслуживания предпринимателей (ЦОП)" – указывается обеспеченность населенного пункта объектом и услугой (благом) "Центр обслуживания предпринимателей (ЦОП)", согласно пункту 5 настоящих Правил;</w:t>
      </w:r>
    </w:p>
    <w:p>
      <w:r>
        <w:t xml:space="preserve">в графе 16 "Наличие Центров обслуживания предпринимателей" – указывается наличие либо отсутствие в населенном пункте "Центров обслуживания предпринимателей";</w:t>
      </w:r>
    </w:p>
    <w:p>
      <w:r>
        <w:t xml:space="preserve">в графе 17 "Необходимые объемы финансирования из бюджета на приведение объектов в соответствие СРС, млн. теңге, ориентировочно (заполняется при несоответствии объектов)" – указывается ориентировочный объем необходимого финансирования из бюджета на приведение объектов в соответствие СРС в млн. теңге. Данная графа заполняется при несоответствии объектов;</w:t>
      </w:r>
    </w:p>
    <w:p>
      <w:r>
        <w:t xml:space="preserve">в графе 18 "Потребность в строительстве новых объектов согласно СРС и необходимые объемы финансирования из бюджета, количество объектов/млн. теңге (заполняется при необходимости)" – указывается потребность в строительстве новых объектов (ед.) и необходимый объем финансирования (млн. теңге) по услуге "Центр обслуживания предпринимателей (ЦОП)";</w:t>
      </w:r>
    </w:p>
    <w:p>
      <w:r>
        <w:t xml:space="preserve">в графе 19 "Обеспеченность объектом и услугой (благом) "Банковские отделения*" – указывается обеспеченность населенного пункта объектом и услугой (благом) "Банковские отделения*", согласно пункту 5 настоящих Правил;</w:t>
      </w:r>
    </w:p>
    <w:p>
      <w:r>
        <w:t xml:space="preserve">в графе 20 "Наличие банковских отделений*" – указывается наличие либо отсутствие в населенном пункте "Банковских отделений";</w:t>
      </w:r>
    </w:p>
    <w:p>
      <w:r>
        <w:t xml:space="preserve">в графе 21 "Наличие банкоматов*" – указывается наличие либо отсутствие в населенном пункте банкоматов;</w:t>
      </w:r>
    </w:p>
    <w:p>
      <w:r>
        <w:t xml:space="preserve">в графе 22 "Обеспеченность объектом и услугой (благом) "Юридические консультации/нотариус*" – указывается обеспеченность населенного пункта объектом и услугой (благом) "Юридические консультации/нотариус*" согласно пункту 5 настоящих Правил;</w:t>
      </w:r>
    </w:p>
    <w:p>
      <w:r>
        <w:t xml:space="preserve">в графе 23 "Наличие юридических консультаций/ нотариус*" – указывается наличие либо отсутствие в населенном пункте юридических консультаций/ нотариуса.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