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Министра финансов Республики Казахстан</w:t>
      </w:r>
    </w:p>
    <w:p>
      <w:r>
        <w:t xml:space="preserve">Приказ, Изменения. Министерство финансов Республики Казахстан. от 13.03.2026. № 223149. редакция от 13.03.2026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11 апреля 2025 года № 163 "Об утверждении Правил составления и внесения изменений и дополнений в Единую бюджетную классификацию Республики Казахстан" следующие изменения:</w:t>
      </w:r>
    </w:p>
    <w:p>
      <w:r>
        <w:t xml:space="preserve">в Правилах составления и внесения изменений и дополнений в Единую бюджетную классификацию Республики Казахстан, утвержденных указанным приказом:</w:t>
      </w:r>
    </w:p>
    <w:p>
      <w:r>
        <w:t xml:space="preserve">подпункт 1) пункта 2 изложить в следующей редакции:</w:t>
      </w:r>
    </w:p>
    <w:p>
      <w:r>
        <w:t xml:space="preserve">"1) цифровая система (далее – Система) – цифровая система для ведения Бюджетной классификации в электронном виде, в которой автоматизируются процессы введения новых, исключения или изменения действующих видов поступлений и расходов бюджета;";</w:t>
      </w:r>
    </w:p>
    <w:p>
      <w:r>
        <w:t xml:space="preserve">часть третью пункта 15 изложить в следующей редакции:</w:t>
      </w:r>
    </w:p>
    <w:p>
      <w:r>
        <w:t xml:space="preserve">"Бюджетные подпрограммы имеют классификационный код от 001 до 999. При этом, одноименные бюджетные подпрограммы, закрепленные за несколькими администраторами, классифицируются по кодам от 001 по 099.";</w:t>
      </w:r>
    </w:p>
    <w:p>
      <w:r>
        <w:t xml:space="preserve">часть вторую пункта 19 изложить в следующей редакции:</w:t>
      </w:r>
    </w:p>
    <w:p>
      <w:r>
        <w:t xml:space="preserve">"Группировка экономической классификации расходов бюджета состоит из:</w:t>
      </w:r>
    </w:p>
    <w:p>
      <w:r>
        <w:t xml:space="preserve">категорий, которые группируют расходы по экономическим признакам. Классификационный код категории состоит из 1 знака;</w:t>
      </w:r>
    </w:p>
    <w:p>
      <w:r>
        <w:t xml:space="preserve">классов, которые группируют расходы по основным видам операций, проводимых государственными учреждениями. Классификационный код класса состоит из 1 знака;</w:t>
      </w:r>
    </w:p>
    <w:p>
      <w:r>
        <w:t xml:space="preserve">подклассов, которые более детально группируют расходы по основным видам операций, проводимых государственными учреждениями. Классификационный код подкласса состоит из 3 знаков.</w:t>
      </w:r>
    </w:p>
    <w:p>
      <w:r>
        <w:t xml:space="preserve">Специфика определяет вид операции, проводимой государственным учреждением для реализации бюджетной программы.";</w:t>
      </w:r>
    </w:p>
    <w:p>
      <w:r>
        <w:t xml:space="preserve">пункт 25 изложить в следующей редакции:</w:t>
      </w:r>
    </w:p>
    <w:p>
      <w:r>
        <w:t xml:space="preserve">"25. Проект Бюджетной классификации на предстоящий финансовый год до 25 июня текущего года направляется центральным уполномоченным органом по бюджетному планированию центральным и местным исполнительным органам для формирования республиканского и местных бюджетов.";</w:t>
      </w:r>
    </w:p>
    <w:p>
      <w:r>
        <w:t xml:space="preserve">второй абзац части второй пункта 35 изложить в следующей редакции:</w:t>
      </w:r>
    </w:p>
    <w:p>
      <w:r>
        <w:t xml:space="preserve">"1) местный уполномоченный орган по государственному планированию, а в случаях отсутствия его - аппарат акима направляет предложения о введении новых, исключении или изменении действующих администраторов местных бюджетных программ с бюджетной программой, направленной на осуществление государственных функций, полномочий и оказание вытекающих из них государственных услуг, и одноименными бюджетными программами, в том числе используемые при исполнении распределяемых бюджетных программ и закрепленные за несколькими администраторами бюджетных программ в центральный уполномоченный орган по бюджетному планированию, который рассматривает данные предложения на предмет соответствия действующему бюджетному законодательству.".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финансов Республики Казахстан от 22 апреля 2025 года № 185 "Об утверждении Правил составления, представления, рассмотрения бюджетного запроса" следующие изменения:</w:t>
      </w:r>
    </w:p>
    <w:p>
      <w:r>
        <w:t xml:space="preserve">в Правилах составления, представления, рассмотрения бюджетного запроса, утвержденных указанным приказом:</w:t>
      </w:r>
    </w:p>
    <w:p>
      <w:r>
        <w:t xml:space="preserve">пункт 45 изложить в следующей редакции:</w:t>
      </w:r>
    </w:p>
    <w:p>
      <w:r>
        <w:t xml:space="preserve">"45. Форма 01-158 предназначена для расчета расходов на оплату работ и услуг в сфере цифровизации и составляется согласно приложению 53 к настоящим Правилам. При заполнении данной формы следует руководствоваться инструкцией по составлению, представлению и рассмотрению расчета расходов на государственные закупки товаров, работ, услуг в сфере цифровизации, утвержденной приказом исполняющего обязанности Министра по инвестициям и развитию Республики Казахстан от 16 марта 2016 года № 274 (зарегистрирован в Реестре государственной регистрации нормативных правовых актов под № 13631).";</w:t>
      </w:r>
    </w:p>
    <w:p>
      <w:r>
        <w:t xml:space="preserve">третьи абзац части третьи пункта 54 изложить в следующей редакции:</w:t>
      </w:r>
    </w:p>
    <w:p>
      <w:r>
        <w:t xml:space="preserve">"при планировании расходов на приобретение товаров, работ, услуг в сфере цифровизации – заключение ведущих международных консалтинговых компаний, имеющих опыт внедрения услуг в области цифровых технологий в других международных финансовых центрах;";</w:t>
      </w:r>
    </w:p>
    <w:p>
      <w:r>
        <w:t xml:space="preserve">подпункт 20) пункта 77 изложить в следующей редакции:</w:t>
      </w:r>
    </w:p>
    <w:p>
      <w:r>
        <w:t xml:space="preserve">"20) заключение уполномоченного органа в сфере цифровизации при планировании администраторами бюджетных программ расходов на государственные закупки товаров, работ, услуг в сфере цифровизации;";</w:t>
      </w:r>
    </w:p>
    <w:p>
      <w:r>
        <w:t xml:space="preserve">пункт 78 изложить в следующей редакции:</w:t>
      </w:r>
    </w:p>
    <w:p>
      <w:r>
        <w:t xml:space="preserve">"78. Администратор республиканских бюджетных программ вносит бюджетный запрос в центральный уполномоченный орган по бюджетному планированию посредством цифровой системы государственного планирования (за исключением бюджетного запроса секретного характера и для служебного пользования).";</w:t>
      </w:r>
    </w:p>
    <w:p>
      <w:r>
        <w:t xml:space="preserve">часть вторую пункта 79 изложить в следующей редакции:</w:t>
      </w:r>
    </w:p>
    <w:p>
      <w:r>
        <w:t xml:space="preserve">"При наличии цифровой системы, соответствующей требованиям Закона Республики Казахстан "Об информатизации", администратор местных бюджетных программ вносит бюджетный запрос посредством цифровой системы местного уполномоченного органа по государственному планированию.";</w:t>
      </w:r>
    </w:p>
    <w:p>
      <w:pPr>
        <w:pStyle w:val="Heading2"/>
      </w:pPr>
      <w:r>
        <w:t xml:space="preserve">Приложение приложение 53 к указанным Правилам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бюджетного законодательства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направление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 абзацев третьего, четвертого пункта 1 и пункта 2 настоящего приказа, которые вступают в силу c 12 июля 2026 года и подлежит официальному опубликованию.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r>
        <w:t xml:space="preserve">|  | Приложение к приказу Министра финансов Республики Казахстан от 13 марта 2026 года № 177 |</w:t>
      </w:r>
    </w:p>
    <w:p>
      <w:r>
        <w:t xml:space="preserve">|---|---|</w:t>
      </w:r>
    </w:p>
    <w:p>
      <w:r>
        <w:t xml:space="preserve">|  | Приложение 53 к Правилам составления, представления, рассмотрения бюджетного запроса |</w:t>
      </w:r>
    </w:p>
    <w:p>
      <w:r>
        <w:t xml:space="preserve">|  | Форма 01-158 |</w:t>
      </w:r>
    </w:p>
    <w:p>
      <w:pPr>
        <w:pStyle w:val="Heading2"/>
      </w:pPr>
      <w:r>
        <w:t xml:space="preserve">Глава Расчет расходов на оплату работ и услуг в сфере цифровизации</w:t>
      </w:r>
    </w:p>
    <w:p>
      <w:pPr>
        <w:pStyle w:val="Heading2"/>
      </w:pPr>
      <w:r>
        <w:t xml:space="preserve">Текст</w:t>
      </w:r>
    </w:p>
    <w:p>
      <w:r>
        <w:t xml:space="preserve">Год</w:t>
      </w:r>
    </w:p>
    <w:p>
      <w:pPr>
        <w:pStyle w:val="Heading2"/>
      </w:pPr>
      <w:r>
        <w:t xml:space="preserve">Текст</w:t>
      </w:r>
    </w:p>
    <w:p>
      <w:r>
        <w:t xml:space="preserve">Коды      |______________|</w:t>
      </w:r>
    </w:p>
    <w:p>
      <w:pPr>
        <w:pStyle w:val="Heading2"/>
      </w:pPr>
      <w:r>
        <w:t xml:space="preserve">Текст</w:t>
      </w:r>
    </w:p>
    <w:p>
      <w:r>
        <w:t xml:space="preserve">Вид данных (прогноз, план, отчет) |______________|</w:t>
      </w:r>
    </w:p>
    <w:p>
      <w:pPr>
        <w:pStyle w:val="Heading2"/>
      </w:pPr>
      <w:r>
        <w:t xml:space="preserve">Текст</w:t>
      </w:r>
    </w:p>
    <w:p>
      <w:r>
        <w:t xml:space="preserve">Функциональная группа                   |______________|</w:t>
      </w:r>
    </w:p>
    <w:p>
      <w:pPr>
        <w:pStyle w:val="Heading2"/>
      </w:pPr>
      <w:r>
        <w:t xml:space="preserve">Текст</w:t>
      </w:r>
    </w:p>
    <w:p>
      <w:r>
        <w:t xml:space="preserve">Администратор программ                |______________|</w:t>
      </w:r>
    </w:p>
    <w:p>
      <w:pPr>
        <w:pStyle w:val="Heading2"/>
      </w:pPr>
      <w:r>
        <w:t xml:space="preserve">Текст</w:t>
      </w:r>
    </w:p>
    <w:p>
      <w:r>
        <w:t xml:space="preserve">Государственное учреждение          |______________|</w:t>
      </w:r>
    </w:p>
    <w:p>
      <w:pPr>
        <w:pStyle w:val="Heading2"/>
      </w:pPr>
      <w:r>
        <w:t xml:space="preserve">Текст</w:t>
      </w:r>
    </w:p>
    <w:p>
      <w:r>
        <w:t xml:space="preserve">Программа |______________|</w:t>
      </w:r>
    </w:p>
    <w:p>
      <w:pPr>
        <w:pStyle w:val="Heading2"/>
      </w:pPr>
      <w:r>
        <w:t xml:space="preserve">Текст</w:t>
      </w:r>
    </w:p>
    <w:p>
      <w:r>
        <w:t xml:space="preserve">Специфика</w:t>
      </w:r>
    </w:p>
    <w:p>
      <w:r>
        <w:t xml:space="preserve">| № | Наименование группы товаров | Цифровая система/ИК услуги | Наименование продукта | Фактические расходы на _____год, тысяч тенге | Уточненный план на _____ год, тысяч тенге | Количество | Стоимость за единицу, тенге | Общая стоимость, тысяч тенге (графа7*графа8) 1000 |</w:t>
      </w:r>
    </w:p>
    <w:p>
      <w:r>
        <w:t xml:space="preserve">|---|---|---|---|---|---|---|---|---|</w:t>
      </w:r>
    </w:p>
    <w:p>
      <w:r>
        <w:t xml:space="preserve">| 1 | 2 | 3 | 4 | 5 | 6 | 7 | 8 | 9 |</w:t>
      </w:r>
    </w:p>
    <w:p>
      <w:r>
        <w:t xml:space="preserve">|  | Общая сумма по специфике | х | х |  |  | х | х | х |</w:t>
      </w:r>
    </w:p>
    <w:p>
      <w:r>
        <w:t xml:space="preserve">|  | Итого | х | х |  |  | 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аппарата центрального исполнительного органа/руководитель 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Руководитель бюджетной программы _________________________________________ (подпись) (фамилия,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Главный бухгалтер/ начальник финансово- экономического отдела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 (подпись) (фамилия, имя, отчество (при его наличии).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