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Байзакского районного маслихата Жамбылской области от 15 декабря 2023 года № 14-3 "Об утверждении Правил оказания социальной помощи, установления ее размеров и определения перечня отдельных категорий нуждающихся граждан по Байзакскому району"</w:t>
      </w:r>
    </w:p>
    <w:p>
      <w:r>
        <w:t xml:space="preserve">Решение. Маслихат Байзакского района. от 08.07.2025. № 212256. редакция от 08.07.2025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Жамбылской области от 15 декабря 2023 года № 14-3 "Об утверждении Правил оказания социальной помощи, установления ее размеров и определения перечня отдельных категорий нуждающихся граждан по Байзакскому району" от 15 декабря № 14-3 (зарегистрировано в Реестре государственной регистрации нормативных правовых актов за № 5136) следующие изменения и дополнения: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 по Байзакскому району, утвержденных указанным решением:</w:t>
      </w:r>
    </w:p>
    <w:p>
      <w:r>
        <w:t xml:space="preserve">пункт 2 изложить в следующей редакции:</w:t>
      </w:r>
    </w:p>
    <w:p>
      <w:r>
        <w:t xml:space="preserve">"2. Основные термины и понятия, которые используются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pStyle w:val="Heading2"/>
      </w:pPr>
      <w:r>
        <w:t xml:space="preserve">Подпункт 2</w:t>
      </w:r>
    </w:p>
    <w:p>
      <w:r>
        <w:t xml:space="preserve">2) специальная комиссия – комиссия, создаваемая решением акима Байзакского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pStyle w:val="Heading2"/>
      </w:pPr>
      <w:r>
        <w:t xml:space="preserve">Подпункт 3</w:t>
      </w:r>
    </w:p>
    <w:p>
      <w:r>
        <w:t xml:space="preserve">3) социальная помощь - помощь, предоставляемая акиматом Байзакского района Жамбылской области в денежной форме отдельным категориям нуждающихся граждан (далее - получатели), а также к праздничным дням и памятным датам;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по оказанию социальной помощи – коммунальное государственное учреждение "Отдел занятости и социальных программ акимата Байзакского района";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p>
      <w:pPr>
        <w:pStyle w:val="Heading2"/>
      </w:pPr>
      <w:r>
        <w:t xml:space="preserve">Подпункт 6</w:t>
      </w:r>
    </w:p>
    <w:p>
      <w:r>
        <w:t xml:space="preserve">6) прожиточный минимум – минимальный денежный доход на одного человека, равный по величине стоимости минимальной потребительской корзины, определенным по Жамбылской области;</w:t>
      </w:r>
    </w:p>
    <w:p>
      <w:pPr>
        <w:pStyle w:val="Heading2"/>
      </w:pPr>
      <w:r>
        <w:t xml:space="preserve">Подпункт 7</w:t>
      </w:r>
    </w:p>
    <w:p>
      <w:r>
        <w:t xml:space="preserve">7) среднедушевой доход – доля совокупного дохода семьи, приходящаяся на каждого члена семьи в месяц;</w:t>
      </w:r>
    </w:p>
    <w:p>
      <w:pPr>
        <w:pStyle w:val="Heading2"/>
      </w:pPr>
      <w:r>
        <w:t xml:space="preserve">Подпункт 8</w:t>
      </w:r>
    </w:p>
    <w:p>
      <w:r>
        <w:t xml:space="preserve">8) праздничные дни – дни национальных и государственных праздников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праздничные даты (далее – памятные даты) – профессиональные и иные праздники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уполномоченный государственный орган – Министерства труда и социальной защиты населения Республики Казахстан;</w:t>
      </w:r>
    </w:p>
    <w:p>
      <w:pPr>
        <w:pStyle w:val="Heading2"/>
      </w:pPr>
      <w:r>
        <w:t xml:space="preserve">Подпункт 11</w:t>
      </w:r>
    </w:p>
    <w:p>
      <w:r>
        <w:t xml:space="preserve">11) участковая комиссия – специальная комиссия, создаваемая решением акимов, акимов сельских округов Байзакского района Жамбылской области для проведения обследования материального положения лиц (семей), обратившихся за адресной социальной помощью;</w:t>
      </w:r>
    </w:p>
    <w:p>
      <w:pPr>
        <w:pStyle w:val="Heading2"/>
      </w:pPr>
      <w:r>
        <w:t xml:space="preserve">Подпункт 12</w:t>
      </w:r>
    </w:p>
    <w:p>
      <w:r>
        <w:t xml:space="preserve">12) предельный размер – утвержденный максимальный размер социальной помощи;</w:t>
      </w:r>
    </w:p>
    <w:p>
      <w:pPr>
        <w:pStyle w:val="Heading2"/>
      </w:pPr>
      <w:r>
        <w:t xml:space="preserve">Подпункт 13</w:t>
      </w:r>
    </w:p>
    <w:p>
      <w:r>
        <w:t xml:space="preserve">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pStyle w:val="Heading2"/>
      </w:pPr>
      <w:r>
        <w:t xml:space="preserve">Подпункт 14</w:t>
      </w:r>
    </w:p>
    <w:p>
      <w:r>
        <w:t xml:space="preserve">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pStyle w:val="Heading2"/>
      </w:pPr>
      <w:r>
        <w:t xml:space="preserve">Подпункт 15</w:t>
      </w:r>
    </w:p>
    <w:p>
      <w:r>
        <w:t xml:space="preserve">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содержания.";</w:t>
      </w:r>
    </w:p>
    <w:p>
      <w:r>
        <w:t xml:space="preserve">пункт 8 изложить в следующей редакции:</w:t>
      </w:r>
    </w:p>
    <w:p>
      <w:r>
        <w:t xml:space="preserve">"8.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акиматом Байзакского района Жамбылской области и утверждаются решениями Байзакского районного маслихата Жамбылской области.</w:t>
      </w:r>
    </w:p>
    <w:p>
      <w:r>
        <w:t xml:space="preserve">Основаниями для отнесения граждан к категории нуждающихся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причинение ущерба гражданину (семье) либо его имуществу вследствие стихийного бедствия;</w:t>
      </w:r>
    </w:p>
    <w:p>
      <w:pPr>
        <w:pStyle w:val="Heading2"/>
      </w:pPr>
      <w:r>
        <w:t xml:space="preserve">Подпункт 2</w:t>
      </w:r>
    </w:p>
    <w:p>
      <w:r>
        <w:t xml:space="preserve">2) причинение ущерба гражданину (семье) либо его имуществу вследствие пожара;</w:t>
      </w:r>
    </w:p>
    <w:p>
      <w:pPr>
        <w:pStyle w:val="Heading2"/>
      </w:pPr>
      <w:r>
        <w:t xml:space="preserve">Подпункт 3</w:t>
      </w:r>
    </w:p>
    <w:p>
      <w:r>
        <w:t xml:space="preserve">3) наличие социально значимого заболевания;</w:t>
      </w:r>
    </w:p>
    <w:p>
      <w:pPr>
        <w:pStyle w:val="Heading2"/>
      </w:pPr>
      <w:r>
        <w:t xml:space="preserve">Подпункт 4</w:t>
      </w:r>
    </w:p>
    <w:p>
      <w:r>
        <w:t xml:space="preserve">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минимуму;</w:t>
      </w:r>
    </w:p>
    <w:p>
      <w:pPr>
        <w:pStyle w:val="Heading2"/>
      </w:pPr>
      <w:r>
        <w:t xml:space="preserve">Подпункт 5</w:t>
      </w:r>
    </w:p>
    <w:p>
      <w:r>
        <w:t xml:space="preserve">5) сиротство, отсутствие родительского попечения;</w:t>
      </w:r>
    </w:p>
    <w:p>
      <w:pPr>
        <w:pStyle w:val="Heading2"/>
      </w:pPr>
      <w:r>
        <w:t xml:space="preserve">Подпункт 6</w:t>
      </w:r>
    </w:p>
    <w:p>
      <w:r>
        <w:t xml:space="preserve">6) неспособность к самообслуживанию в связи с преклонным возрастом;</w:t>
      </w:r>
    </w:p>
    <w:p>
      <w:pPr>
        <w:pStyle w:val="Heading2"/>
      </w:pPr>
      <w:r>
        <w:t xml:space="preserve">Подпункт 7</w:t>
      </w:r>
    </w:p>
    <w:p>
      <w:r>
        <w:t xml:space="preserve">7) освобождение из мест лишения свободы, нахождение на учете службы пробации.</w:t>
      </w:r>
    </w:p>
    <w:p>
      <w:r>
        <w:t xml:space="preserve"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r>
        <w:t xml:space="preserve">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p>
      <w:r>
        <w:t xml:space="preserve">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нуждающихся.";</w:t>
      </w:r>
    </w:p>
    <w:p>
      <w:r>
        <w:t xml:space="preserve">пункт 9 изложить в следующей редакции:</w:t>
      </w:r>
    </w:p>
    <w:p>
      <w:r>
        <w:t xml:space="preserve">"9. Социальная помощь к праздничным дням и памятным датам оказывается без истребования заявлений от получателей.</w:t>
      </w:r>
    </w:p>
    <w:p>
      <w:r>
        <w:t xml:space="preserve">Категории получателей социальной помощи определяются акиматом Байзакского района Жамбылской области.</w:t>
      </w:r>
    </w:p>
    <w:p>
      <w:r>
        <w:t xml:space="preserve"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органа.";</w:t>
      </w:r>
    </w:p>
    <w:p>
      <w:r>
        <w:t xml:space="preserve">пункт 9-1 изложить в следующей редакции:</w:t>
      </w:r>
    </w:p>
    <w:p>
      <w:r>
        <w:t xml:space="preserve">"9-1.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приложению 1 к Типовым правилам, или электронно на портал с заявлением по форме согласно приложению 1-1 к Типовым правилам.</w:t>
      </w:r>
    </w:p>
    <w:p>
      <w:r>
        <w:t xml:space="preserve">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p>
      <w:r>
        <w:t xml:space="preserve">При несоответствии (отсутствии) сведений в ИС заявителем к заявлению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pStyle w:val="Heading2"/>
      </w:pPr>
      <w:r>
        <w:t xml:space="preserve">Подпункт 3</w:t>
      </w:r>
    </w:p>
    <w:p>
      <w:r>
        <w:t xml:space="preserve">3) один из нижеперечисленных документов, подтверждающих факт наличия оснований для отнесения к категории нуждающихся:</w:t>
      </w:r>
    </w:p>
    <w:p>
      <w:r>
        <w:t xml:space="preserve">документ, подтверждающий факт причиненного ущерба гражданину (семье) либо его имуществу вследствие стихийного бедствия;</w:t>
      </w:r>
    </w:p>
    <w:p>
      <w:r>
        <w:t xml:space="preserve">документ, подтверждающий факт причиненного ущерба гражданину (семье) либо его имуществу вследствие пожара;</w:t>
      </w:r>
    </w:p>
    <w:p>
      <w:r>
        <w:t xml:space="preserve">документ, подтверждающий факт наличия социально значимого заболевания;</w:t>
      </w:r>
    </w:p>
    <w:p>
      <w:r>
        <w:t xml:space="preserve">документ, подтверждающий факт сиротства, отсутствия родительского попечения;</w:t>
      </w:r>
    </w:p>
    <w:p>
      <w:r>
        <w:t xml:space="preserve">документ, подтверждающий факт неспособности к самообслуживанию в связи с преклонным возрастом;</w:t>
      </w:r>
    </w:p>
    <w:p>
      <w:r>
        <w:t xml:space="preserve">документ, подтверждающий факт освобождения из мест лишения свободы, нахождения на учете службы пробации;</w:t>
      </w:r>
    </w:p>
    <w:p>
      <w:r>
        <w:t xml:space="preserve">документ, подтверждающих затрат на санаторно-курортное лечение (счет-фактура, фискальный чек);</w:t>
      </w:r>
    </w:p>
    <w:p>
      <w:r>
        <w:t xml:space="preserve">документы, подтверждающие расходы, на возмещение санаторно-курортного лечения лицу, сопровождающего лица с инвалидностью первой группы(счет-фактура, фискальный чек);</w:t>
      </w:r>
    </w:p>
    <w:p>
      <w:r>
        <w:t xml:space="preserve">документы, подтверждающие расходы на газификацию жилого дома (квитанция, акт выполненных работ (оказанных услуг), договор и справка об отсутствии (наличии) недвижимого имущества.</w:t>
      </w:r>
    </w:p>
    <w:p>
      <w:r>
        <w:t xml:space="preserve">Документы представляются в подлинниках и копиях для сверки. После сверки подлинники документов возвращаются заявителю.</w:t>
      </w:r>
    </w:p>
    <w:p>
      <w:r>
        <w:t xml:space="preserve">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p>
      <w:r>
        <w:t xml:space="preserve">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r>
        <w:t xml:space="preserve">При этом заявитель удостоверяет своей ЭЦП электронное заявление и сведения, поступившие из ИС государственных органов и (или) организаций.";</w:t>
      </w:r>
    </w:p>
    <w:p>
      <w:r>
        <w:t xml:space="preserve">пункт 10 изложить в следующей редакции:</w:t>
      </w:r>
    </w:p>
    <w:p>
      <w:r>
        <w:t xml:space="preserve">"10.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p>
      <w:pPr>
        <w:pStyle w:val="Heading2"/>
      </w:pPr>
      <w:r>
        <w:t xml:space="preserve">Подпункт 1</w:t>
      </w:r>
    </w:p>
    <w:p>
      <w:r>
        <w:t xml:space="preserve">1) При поступлении заявления на оказание социальной помощи отдельным категориям нуждающихся граждан по основаниям, указанным в пункта 8 настоящих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p>
      <w:pPr>
        <w:pStyle w:val="Heading2"/>
      </w:pPr>
      <w:r>
        <w:t xml:space="preserve">Подпункт 2</w:t>
      </w:r>
    </w:p>
    <w:p>
      <w:r>
        <w:t xml:space="preserve">2)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приложениям 2,3 к Типовым правилам, и направляет их в уполномоченный орган по оказанию социальной помощи или акиму поселка, села, сельского округа.</w:t>
      </w:r>
    </w:p>
    <w:p>
      <w:r>
        <w:t xml:space="preserve">Аким поселка, села,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p>
      <w:pPr>
        <w:pStyle w:val="Heading2"/>
      </w:pPr>
      <w:r>
        <w:t xml:space="preserve">Подпункт 3</w:t>
      </w:r>
    </w:p>
    <w:p>
      <w:r>
        <w:t xml:space="preserve">3)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p>
      <w:pPr>
        <w:pStyle w:val="Heading2"/>
      </w:pPr>
      <w:r>
        <w:t xml:space="preserve">Подпункт 4</w:t>
      </w:r>
    </w:p>
    <w:p>
      <w:r>
        <w:t xml:space="preserve">4)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по оказанию социальной помощи в течение 1 (один) рабочего дня со дня поступления документов от участковой комиссии или акима поселка, села,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p>
      <w:pPr>
        <w:pStyle w:val="Heading2"/>
      </w:pPr>
      <w:r>
        <w:t xml:space="preserve">Подпункт 6</w:t>
      </w:r>
    </w:p>
    <w:p>
      <w:r>
        <w:t xml:space="preserve">6)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p>
      <w:r>
        <w:t xml:space="preserve">В случаях, указанных в подпунктах 3 и 4 пункта 10 настоящих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p>
      <w:r>
        <w:t xml:space="preserve">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p>
      <w:r>
        <w:t xml:space="preserve">Время и дата заслушивания устанавливаются уполномоченным органом по оказанию социальной помощи, которое проводится путем:</w:t>
      </w:r>
    </w:p>
    <w:p>
      <w:r>
        <w:t xml:space="preserve">приглашения заявителя на заслушивание посредством видеоконференцсвязи или иных средств коммуникации;</w:t>
      </w:r>
    </w:p>
    <w:p>
      <w:r>
        <w:t xml:space="preserve">использования информационных систем;</w:t>
      </w:r>
    </w:p>
    <w:p>
      <w:r>
        <w:t xml:space="preserve">иных способов связи, позволяющих заявителю изложить свою позицию.</w:t>
      </w:r>
    </w:p>
    <w:p>
      <w:r>
        <w:t xml:space="preserve">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p>
      <w:r>
        <w:t xml:space="preserve">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</w:t>
      </w:r>
    </w:p>
    <w:p>
      <w:r>
        <w:t xml:space="preserve">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p>
      <w:r>
        <w:t xml:space="preserve">Заявитель в течение трех рабочих дней после ознакомления вправе представить свои замечания на протокол заслушивания.</w:t>
      </w:r>
    </w:p>
    <w:p>
      <w:r>
        <w:t xml:space="preserve">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приложнию 4 к Типовым правилам.</w:t>
      </w:r>
    </w:p>
    <w:p>
      <w:r>
        <w:t xml:space="preserve">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(в случае отказа – согласно приложению 6 к Типовым правилам).</w:t>
      </w:r>
    </w:p>
    <w:p>
      <w:r>
        <w:t xml:space="preserve">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p>
      <w:r>
        <w:t xml:space="preserve">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p>
      <w:r>
        <w:t xml:space="preserve">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портала.";</w:t>
      </w:r>
    </w:p>
    <w:p>
      <w:r>
        <w:t xml:space="preserve">пункт 10-1 изложить в следующей редакции:</w:t>
      </w:r>
    </w:p>
    <w:p>
      <w:r>
        <w:t xml:space="preserve">"10-1. Отказ в оказании социальной помощи осуществляется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выявления недостоверных сведений, представленных заявителями;</w:t>
      </w:r>
    </w:p>
    <w:p>
      <w:pPr>
        <w:pStyle w:val="Heading2"/>
      </w:pPr>
      <w:r>
        <w:t xml:space="preserve">Подпункт 2</w:t>
      </w:r>
    </w:p>
    <w:p>
      <w:r>
        <w:t xml:space="preserve">2) отказа, уклонения заявителя от проведения обследования материального положения лица (семьи);</w:t>
      </w:r>
    </w:p>
    <w:p>
      <w:pPr>
        <w:pStyle w:val="Heading2"/>
      </w:pPr>
      <w:r>
        <w:t xml:space="preserve">Подпункт 3</w:t>
      </w:r>
    </w:p>
    <w:p>
      <w:r>
        <w:t xml:space="preserve">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основанию.";</w:t>
      </w:r>
    </w:p>
    <w:p>
      <w:r>
        <w:t xml:space="preserve">пункт 10-2 изложить в следующей редакции:</w:t>
      </w:r>
    </w:p>
    <w:p>
      <w:r>
        <w:t xml:space="preserve">"10-2. 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соответствующей административно-территориальной единицы;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заявителем;</w:t>
      </w:r>
    </w:p>
    <w:p>
      <w:pPr>
        <w:pStyle w:val="Heading2"/>
      </w:pPr>
      <w:r>
        <w:t xml:space="preserve">Подпункт 5</w:t>
      </w:r>
    </w:p>
    <w:p>
      <w:r>
        <w:t xml:space="preserve">5) выявления сведений об утрате оснований на оказание социальной помощи.</w:t>
      </w:r>
    </w:p>
    <w:p>
      <w:r>
        <w:t xml:space="preserve">Подпункт 3) настоящего пункта не распространяется на выплату социальной помощи, назначенной по основаниям, указанным в подпунктах 1) и 2) пункта 8 Типовых правил.</w:t>
      </w:r>
    </w:p>
    <w:p>
      <w:r>
        <w:t xml:space="preserve">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r>
        <w:t xml:space="preserve">Выплата социальной помощи по основаниям, указанным в подпунктах 4) и 5) настоящего пункта, прекращается с даты наступления указанных обстоятельств.";</w:t>
      </w:r>
    </w:p>
    <w:p>
      <w:r>
        <w:t xml:space="preserve">пункт 11 изложить в следующей редакции:</w:t>
      </w:r>
    </w:p>
    <w:p>
      <w:r>
        <w:t xml:space="preserve">"11. Финансирование расходов на предоставление социальной помощи осуществляется в пределах средств, предусмотренных бюджетом Байзакского района Жамбылской области, на текущий финансовый год.";</w:t>
      </w:r>
    </w:p>
    <w:p>
      <w:r>
        <w:t xml:space="preserve">пункт 12 изложить в следующей редакции:</w:t>
      </w:r>
    </w:p>
    <w:p>
      <w:r>
        <w:t xml:space="preserve">"12. 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помощи.";</w:t>
      </w:r>
    </w:p>
    <w:p>
      <w:r>
        <w:t xml:space="preserve">дополнить пунктами 15 , 16 , 17 , 18 , 19 , 20 , 21 и 22 следующего содержания:</w:t>
      </w:r>
    </w:p>
    <w:p>
      <w:r>
        <w:t xml:space="preserve">"15.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p>
      <w:r>
        <w:t xml:space="preserve">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p>
      <w:pPr>
        <w:pStyle w:val="Heading2"/>
      </w:pPr>
      <w:r>
        <w:t xml:space="preserve">Пункт 16</w:t>
      </w:r>
    </w:p>
    <w:p>
      <w:r>
        <w:t xml:space="preserve">16.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p>
      <w:pPr>
        <w:pStyle w:val="Heading2"/>
      </w:pPr>
      <w:r>
        <w:t xml:space="preserve">Пункт 17</w:t>
      </w:r>
    </w:p>
    <w:p>
      <w:r>
        <w:t xml:space="preserve">17.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r>
        <w:t xml:space="preserve">по единовременным выплатам – ежедневно;</w:t>
      </w:r>
    </w:p>
    <w:p>
      <w:r>
        <w:t xml:space="preserve">по ежемесячным и ежеквартальным выплатам – к 29 числу месяца, предшествующего месяцу выплаты.</w:t>
      </w:r>
    </w:p>
    <w:p>
      <w:pPr>
        <w:pStyle w:val="Heading2"/>
      </w:pPr>
      <w:r>
        <w:t xml:space="preserve">Пункт 18</w:t>
      </w:r>
    </w:p>
    <w:p>
      <w:r>
        <w:t xml:space="preserve">18.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r>
        <w:t xml:space="preserve">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r>
        <w:t xml:space="preserve">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p>
      <w:pPr>
        <w:pStyle w:val="Heading2"/>
      </w:pPr>
      <w:r>
        <w:t xml:space="preserve">Пункт 19</w:t>
      </w:r>
    </w:p>
    <w:p>
      <w:r>
        <w:t xml:space="preserve">19.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p>
      <w:pPr>
        <w:pStyle w:val="Heading2"/>
      </w:pPr>
      <w:r>
        <w:t xml:space="preserve">Пункт 20</w:t>
      </w:r>
    </w:p>
    <w:p>
      <w:r>
        <w:t xml:space="preserve">20.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p>
      <w:pPr>
        <w:pStyle w:val="Heading2"/>
      </w:pPr>
      <w:r>
        <w:t xml:space="preserve">Пункт 21</w:t>
      </w:r>
    </w:p>
    <w:p>
      <w:r>
        <w:t xml:space="preserve">21.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p>
      <w:pPr>
        <w:pStyle w:val="Heading2"/>
      </w:pPr>
      <w:r>
        <w:t xml:space="preserve">Пункт 22</w:t>
      </w:r>
    </w:p>
    <w:p>
      <w:r>
        <w:t xml:space="preserve">22.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