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Арысского городского маслихата от 29 марта 2018 года № 20/152-VI "Об утверждении регламента собрания местного сообщества сельских округов города Арыс"</w:t>
      </w:r>
    </w:p>
    <w:p>
      <w:r>
        <w:t xml:space="preserve">Решение, Изменения. Маслихат города Арысь. от 24.09.2021. № 159057. редакция от 24.09.2021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3-1 статьи 39-3 Закона Республики Казахстан "О местном государственном управлении и самоуправлении в Республике Казахстан", статьей 26 Закона Республики Казахстан "О правовых актах", Арысский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Арысского городского маслихата от 29 марта 2018 года № 20/152-VI "Об утверждении регламента собрания местного сообщества сельских округов города Арыс" (зарегистрирован в Реестре государственной регистрации нормативных правовых актов за № 4519) следующие изменения:</w:t>
      </w:r>
    </w:p>
    <w:p>
      <w:r>
        <w:t xml:space="preserve">в Регламенте собрания местного сообщества, утвержденном указанным решением:</w:t>
      </w:r>
    </w:p>
    <w:p>
      <w:r>
        <w:t xml:space="preserve">пункт 1 изложить в следующей редакции:</w:t>
      </w:r>
    </w:p>
    <w:p>
      <w:r>
        <w:t xml:space="preserve">"1. Настоящий Регламент собрания местного сообщества сельских округов города Арыс (далее – Регламент) разработан в соответствии с Типовым регламентом собрания местного сообщества утвержденного приказом Министра национальной экономики Республики Казахстан от 7 августа 2017 года № 295.";</w:t>
      </w:r>
    </w:p>
    <w:p>
      <w:r>
        <w:t xml:space="preserve">пункт 3 изложить в следующей редакции:</w:t>
      </w:r>
    </w:p>
    <w:p>
      <w:r>
        <w:t xml:space="preserve">"3. Собрание проводится по текущим вопросам местного значения:</w:t>
      </w:r>
    </w:p>
    <w:p>
      <w:r>
        <w:t xml:space="preserve">обсуждение и рассмотрение проектов программных документов, программ развития местного сообщества;</w:t>
      </w:r>
    </w:p>
    <w:p>
      <w:r>
        <w:t xml:space="preserve">согласование проекта бюджета сельского округа (далее – сельский округ) и отчета об исполнении бюджета;</w:t>
      </w:r>
    </w:p>
    <w:p>
      <w:r>
        <w:t xml:space="preserve">согласование решений аппарата акима сельского округа по управлению коммунальной собственностью сельского округа (коммунальной собственностью местного самоуправления);</w:t>
      </w:r>
    </w:p>
    <w:p>
      <w:r>
        <w:t xml:space="preserve">образование комиссии местного сообщества из числа участников собрания в целях мониторинга исполнения бюджета;</w:t>
      </w:r>
    </w:p>
    <w:p>
      <w:r>
        <w:t xml:space="preserve">заслушивание и обсуждение отчета о результатах проведенного мониторинга исполнения бюджета сельского округа;</w:t>
      </w:r>
    </w:p>
    <w:p>
      <w:r>
        <w:t xml:space="preserve">согласование отчуждения коммунального имущества сельского округа;</w:t>
      </w:r>
    </w:p>
    <w:p>
      <w:r>
        <w:t xml:space="preserve">обсуждение актуальных вопросов местного сообщества, проектов нормативных правовых актов, затрагивающих права и свободы граждан;</w:t>
      </w:r>
    </w:p>
    <w:p>
      <w:r>
        <w:t xml:space="preserve">согласование представленных акимом города кандидатур на должность акима сельского округа для дальнейшего внесения в соответствующую территориальную избирательную комиссию для регистрации в качестве кандидата в акимы сельского округа;</w:t>
      </w:r>
    </w:p>
    <w:p>
      <w:r>
        <w:t xml:space="preserve">инициирование вопроса об освобождении от должности акима сельского округа;</w:t>
      </w:r>
    </w:p>
    <w:p>
      <w:r>
        <w:t xml:space="preserve">внесение предложений по назначению руководителей государственных учреждений и организаций, финансируемых из местного бюджета и расположенных на соответствующих территориях;</w:t>
      </w:r>
    </w:p>
    <w:p>
      <w:r>
        <w:t xml:space="preserve">другие текущие вопросы местного сообщества.";</w:t>
      </w:r>
    </w:p>
    <w:p>
      <w:r>
        <w:t xml:space="preserve">пункт 5 изложить в следующей редакции:</w:t>
      </w:r>
    </w:p>
    <w:p>
      <w:r>
        <w:t xml:space="preserve">"5. О времени, месте созыва собрания и обсуждаемых вопросах, члены собрания оповещаются не позднее, чем за десять календарных дней до дня его проведения через средства массовой информации или иными способами, за исключением случая, предусмотренного подпунктом 4-3) пункта 3 статьи 39-3 Закона, согласно которому о времени, месте созыва собрания местного сообщества члены собрания местного сообщества оповещаются не позднее чем за три календарных дня до дня его проведения.</w:t>
      </w:r>
    </w:p>
    <w:p>
      <w:r>
        <w:t xml:space="preserve">По вопросам, вносимым на рассмотрение собрания, аппарат акима не позднее, чем за пять календарных дней до созыва собрания представляет членам собрания и акиму необходимые материалы в письменном виде или в форме электронного документа.".</w:t>
      </w:r>
    </w:p>
    <w:p>
      <w:r>
        <w:t xml:space="preserve">пункты 11 и 12 изложить в следующей редакции:</w:t>
      </w:r>
    </w:p>
    <w:p>
      <w:r>
        <w:t xml:space="preserve">"11. Собрание в рамках своих полномочий принимает решения большинством голосов присутствующих на созыве членов собрания.</w:t>
      </w:r>
    </w:p>
    <w:p>
      <w:r>
        <w:t xml:space="preserve">В случае равенства голосов председатель собрания пользуется правом решающего голоса.</w:t>
      </w:r>
    </w:p>
    <w:p>
      <w:r>
        <w:t xml:space="preserve">Решение собрания оформляется протоколом, в котором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дата и место проведения собрания;</w:t>
      </w:r>
    </w:p>
    <w:p>
      <w:pPr>
        <w:pStyle w:val="Heading2"/>
      </w:pPr>
      <w:r>
        <w:t xml:space="preserve">Подпункт 2</w:t>
      </w:r>
    </w:p>
    <w:p>
      <w:r>
        <w:t xml:space="preserve">2) количество и список членов собрания;</w:t>
      </w:r>
    </w:p>
    <w:p>
      <w:pPr>
        <w:pStyle w:val="Heading2"/>
      </w:pPr>
      <w:r>
        <w:t xml:space="preserve">Подпункт 3</w:t>
      </w:r>
    </w:p>
    <w:p>
      <w:r>
        <w:t xml:space="preserve">3) количество и список иных присутствующих с указанием фамилии, имени, отчества (при его наличии);</w:t>
      </w:r>
    </w:p>
    <w:p>
      <w:pPr>
        <w:pStyle w:val="Heading2"/>
      </w:pPr>
      <w:r>
        <w:t xml:space="preserve">Подпункт 4</w:t>
      </w:r>
    </w:p>
    <w:p>
      <w:r>
        <w:t xml:space="preserve">4) фамилия, имя, отчество (при его наличии) председателя и секретаря собрания;</w:t>
      </w:r>
    </w:p>
    <w:p>
      <w:pPr>
        <w:pStyle w:val="Heading2"/>
      </w:pPr>
      <w:r>
        <w:t xml:space="preserve">Подпункт 5</w:t>
      </w:r>
    </w:p>
    <w:p>
      <w:r>
        <w:t xml:space="preserve">5) повестка дня, краткое содержание выступлений и принятые решения.</w:t>
      </w:r>
    </w:p>
    <w:p>
      <w:r>
        <w:t xml:space="preserve">Протокол подписывается председателем и секретарем собрания и в течение двух рабочих дней передается акиму сельского округа, за исключением случаев, когда протокол содержит решение собрания местного сообщества об инициировании вопроса о прекращении полномочий акима сельского округа.</w:t>
      </w:r>
    </w:p>
    <w:p>
      <w:r>
        <w:t xml:space="preserve">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соответствующий маслихат города.</w:t>
      </w:r>
    </w:p>
    <w:p>
      <w:pPr>
        <w:pStyle w:val="Heading2"/>
      </w:pPr>
      <w:r>
        <w:t xml:space="preserve">Пункт 12</w:t>
      </w:r>
    </w:p>
    <w:p>
      <w:r>
        <w:t xml:space="preserve">12. Решения, принятые собранием, рассматриваются акимом сельского округа в срок не более пяти рабочих дней.</w:t>
      </w:r>
    </w:p>
    <w:p>
      <w:r>
        <w:t xml:space="preserve">Акимы вправе выразить несогласие с решением собрания местного сообщества, которое разрешается путем повторного обсуждения вопросов, вызвавших такое несогласие в порядке, предусмотренном главой 2 настоящего Регламента.</w:t>
      </w:r>
    </w:p>
    <w:p>
      <w:r>
        <w:t xml:space="preserve">В случае невозможности разрешения вопросов, вызвавших несогласие акима сельского округа, вопрос разрешается вышестоящим акимом после его предварительного обсуждения на заседании маслихата соответствующего города.".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городского маслихата | А. Байтанаев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