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по управлению пастбищами и их использованию по Алакольскому району на 2021–2022 годы</w:t>
      </w:r>
    </w:p>
    <w:p>
      <w:r>
        <w:t xml:space="preserve">Решение. Маслихат Алакольского района (передан в область Жетісу). от 13.08.2021. № 158322. редакция от 13.08.2021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8 Закона Республики Казахстан "О пастбищах",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План по управлению пастбищами и их использованию по Алакольскому району на 2021 – 2022 годы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возложить на постоянную комиссию Алакольского районного маслихата "По вопросам развития сельского хозяйства, экологии, транспорта и связи, индустриально-инновации и энергетической инфраструктуры".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Секретарь Алакольского районного маслихата: | С.Жабжанов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pPr>
        <w:pStyle w:val="Heading2"/>
      </w:pPr>
      <w:r>
        <w:t xml:space="preserve">Глава План по управлению пастбищами и их использованию по Алакольскому району на 2021-2022 годы</w:t>
      </w:r>
    </w:p>
    <w:p>
      <w:pPr>
        <w:pStyle w:val="Heading2"/>
      </w:pPr>
      <w:r>
        <w:t xml:space="preserve">Текст</w:t>
      </w:r>
    </w:p>
    <w:p>
      <w:r>
        <w:t xml:space="preserve">Настоящий План по управлению пастбищами и их использованию по Алакольскому району на 2020-2021 годы (далее - План) разработан в соответствии с Законом Республики Казахстан от 20 февраля 2017 года "О пастбищах", приказом Заместителя Премьер-Министра Республики Казахстан-Министра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№ 15090),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11064).</w:t>
      </w:r>
    </w:p>
    <w:p>
      <w:pPr>
        <w:pStyle w:val="Heading2"/>
      </w:pPr>
      <w:r>
        <w:t xml:space="preserve">Текст</w:t>
      </w:r>
    </w:p>
    <w:p>
      <w:r>
        <w:t xml:space="preserve">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pStyle w:val="Heading2"/>
      </w:pPr>
      <w:r>
        <w:t xml:space="preserve">Текст</w:t>
      </w:r>
    </w:p>
    <w:p>
      <w:r>
        <w:t xml:space="preserve">План содержит:</w:t>
      </w:r>
    </w:p>
    <w:p>
      <w:pPr>
        <w:pStyle w:val="Heading2"/>
      </w:pPr>
      <w:r>
        <w:t xml:space="preserve">Пункт 1</w:t>
      </w:r>
    </w:p>
    <w:p>
      <w:r>
        <w:t xml:space="preserve">1. схему (карту) расположения пастбищ на территории административно-территориальной единицы в разрезе категории земель, собствеников земельных участков и землепользователей на основании правоустанавливающих документов, согласно приложению 1 к настоящему Плану;</w:t>
      </w:r>
    </w:p>
    <w:p>
      <w:pPr>
        <w:pStyle w:val="Heading2"/>
      </w:pPr>
      <w:r>
        <w:t xml:space="preserve">Пункт 2</w:t>
      </w:r>
    </w:p>
    <w:p>
      <w:r>
        <w:t xml:space="preserve">2. приемлемую схему пастбищеоборотов, согласно приложению 2 к настоящему Плану;</w:t>
      </w:r>
    </w:p>
    <w:p>
      <w:pPr>
        <w:pStyle w:val="Heading2"/>
      </w:pPr>
      <w:r>
        <w:t xml:space="preserve">Пункт 3</w:t>
      </w:r>
    </w:p>
    <w:p>
      <w:r>
        <w:t xml:space="preserve">3. карту с обозначением внешних и внутренних границ и площадей пастбищ, в том числе сезонных, объектов пастбищной инфраструктуры, согласно приложению 3 к настоящему Плану;</w:t>
      </w:r>
    </w:p>
    <w:p>
      <w:pPr>
        <w:pStyle w:val="Heading2"/>
      </w:pPr>
      <w:r>
        <w:t xml:space="preserve">Пункт 4</w:t>
      </w:r>
    </w:p>
    <w:p>
      <w:r>
        <w:t xml:space="preserve">4. схему доступа пастбищепользователей к водоисточникам (озерам, рекам, прудам, копаням, оросительным или обводительными каналам,трубчатым или шахтным колодцам), составленную согласно норме потребления воды, согласно приложению 4 к настоящему Плану;</w:t>
      </w:r>
    </w:p>
    <w:p>
      <w:pPr>
        <w:pStyle w:val="Heading2"/>
      </w:pPr>
      <w:r>
        <w:t xml:space="preserve">Пункт 5</w:t>
      </w:r>
    </w:p>
    <w:p>
      <w:r>
        <w:t xml:space="preserve">5. схему перераспределения пастбищ для размещения поголовья сельскохозяйственных животных и (или) юридических лиц, у которых отсутствуют пастбища, и перемещения его на предоставляемые пастбища, согласно 5 к настоящему Плану;</w:t>
      </w:r>
    </w:p>
    <w:p>
      <w:pPr>
        <w:pStyle w:val="Heading2"/>
      </w:pPr>
      <w:r>
        <w:t xml:space="preserve">Пункт 6</w:t>
      </w:r>
    </w:p>
    <w:p>
      <w:r>
        <w:t xml:space="preserve">6. схему размещения поголовья сельскохозяйственных животных на отгонных пастбищах физических и (или) не обеспеченных пастбищами, расположенными при городе районого значения, селе, сельском округе, согласно приложеню 6 к настоящему Плану;</w:t>
      </w:r>
    </w:p>
    <w:p>
      <w:pPr>
        <w:pStyle w:val="Heading2"/>
      </w:pPr>
      <w:r>
        <w:t xml:space="preserve">Пункт 7</w:t>
      </w:r>
    </w:p>
    <w:p>
      <w:r>
        <w:t xml:space="preserve">7. календарный график по использованию пастбищ, устанавливающий сезонные маршруты и передвижения сельскохозяйственных животных, согласно приложению 7 к настоящему Плану;</w:t>
      </w:r>
    </w:p>
    <w:p>
      <w:r>
        <w:t xml:space="preserve">План принят с учетом сведений о состоянии геоботанического обследования пастбищ, сведений о ветеринарно-санитарных обьектах, данных о численности поголовья сельскохозяйственных животных с указанием их владельцев - пастбище 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пастбищах.</w:t>
      </w:r>
    </w:p>
    <w:p>
      <w:r>
        <w:t xml:space="preserve">Район был образован под названием Алакульский район в 1928 году. Администиративно-территориальное деление района состоит из 23 сельских округов, 56 сельских населенных пунктов.</w:t>
      </w:r>
    </w:p>
    <w:p>
      <w:r>
        <w:t xml:space="preserve">Общая площадь земель Алакольского района 2369,5 тысяч гектаров, из них пастбищные земли - 733,6 тысяч гектаров, в том числе сенокосы - 52,2 тысяч гектаров.</w:t>
      </w:r>
    </w:p>
    <w:p>
      <w:r>
        <w:t xml:space="preserve">По категориям земли подразделяются на:</w:t>
      </w:r>
    </w:p>
    <w:p>
      <w:r>
        <w:t xml:space="preserve">земли сельскохозяйственного назначения - 903,5 тысяч гектаров;</w:t>
      </w:r>
    </w:p>
    <w:p>
      <w:r>
        <w:t xml:space="preserve">земли населенных пунктов - 59,3 тысяч гектаров;</w:t>
      </w:r>
    </w:p>
    <w:p>
      <w:r>
        <w:t xml:space="preserve">земли промышленности, транспорта, связи, для нужд космической деятельности, обороны, национальной безопасности и иного не сельскохозяйственного назначения - 33,8 тысяч гектаров;</w:t>
      </w:r>
    </w:p>
    <w:p>
      <w:r>
        <w:t xml:space="preserve">земли лесного фонда - 244,5 тысяч гектаров;</w:t>
      </w:r>
    </w:p>
    <w:p>
      <w:r>
        <w:t xml:space="preserve">земли природных заповедников - 68,6 тысяч гектаров;</w:t>
      </w:r>
    </w:p>
    <w:p>
      <w:r>
        <w:t xml:space="preserve">земли водного фонда - 0,8 тысяч гектаров;</w:t>
      </w:r>
    </w:p>
    <w:p>
      <w:r>
        <w:t xml:space="preserve">земли запаса - 958,8 тысяч гектаров.</w:t>
      </w:r>
    </w:p>
    <w:p>
      <w:r>
        <w:t xml:space="preserve">Климат района резко континентальный. Годовое количество атмосферных осадков на равнинной территории 150-260 мм, в горных районах 350-550 мм. Средние температуры января -12-16°С, июля +18+23°С.</w:t>
      </w:r>
    </w:p>
    <w:p>
      <w:r>
        <w:t xml:space="preserve">На равнине распространены серо-бурые полупустынные почвы, в предгорьях светло-каштановые и черноземные.</w:t>
      </w:r>
    </w:p>
    <w:p>
      <w:r>
        <w:t xml:space="preserve">На территории района протекают реки - Тентек, Чинжала, Жаманты, Кызылтал, Ыргайты.</w:t>
      </w:r>
    </w:p>
    <w:p>
      <w:r>
        <w:t xml:space="preserve">Насчитывается примерно 110 видов широко распространенных цветковых растений, относящихся к 25 семействам и 85 родам. Наибольшее распространение получили три семейства: злаковые, сложноцветные и маревые.</w:t>
      </w:r>
    </w:p>
    <w:p>
      <w:r>
        <w:t xml:space="preserve">Средняя урожайность пастбищных угодий составляет 3,5 центнер/гектар.</w:t>
      </w:r>
    </w:p>
    <w:p>
      <w:r>
        <w:t xml:space="preserve">Фонд кормов пастбищ используется в пастбищный период продолжительностью 180-210 дней.</w:t>
      </w:r>
    </w:p>
    <w:p>
      <w:r>
        <w:t xml:space="preserve">В Алакольском районе действуют 103 ветеринарно-санитарных объектов, из них: 25 скотомогильников, 25 сибирский очагов, 22 ветеринарных пунктов, 2 мест для обработки животных, 28 пунктов осеменения крупного рогатого скота.</w:t>
      </w:r>
    </w:p>
    <w:p>
      <w:r>
        <w:t xml:space="preserve">|  | Приложение 7 к Плану по управлению пастбищами и их использованию по Алакольскому району на 2020-2021 годы" |</w:t>
      </w:r>
    </w:p>
    <w:p>
      <w:r>
        <w:t xml:space="preserve">|---|---|</w:t>
      </w:r>
    </w:p>
    <w:p>
      <w:pPr>
        <w:pStyle w:val="Heading2"/>
      </w:pPr>
      <w:r>
        <w:t xml:space="preserve">Глава Календарный график по использованию пастбища, устанавливающий сезонные маршруты выпаса и передвижения сельскохозяйственных животных</w:t>
      </w:r>
    </w:p>
    <w:p>
      <w:r>
        <w:t xml:space="preserve">| Годы | Сроки перегона скота на пастбища и возврата скота из пастбищ |  |  |  |</w:t>
      </w:r>
    </w:p>
    <w:p>
      <w:r>
        <w:t xml:space="preserve">|---|---|---|---|---|</w:t>
      </w:r>
    </w:p>
    <w:p>
      <w:r>
        <w:t xml:space="preserve">| Весна | Лето | Осень | Зима |  |</w:t>
      </w:r>
    </w:p>
    <w:p>
      <w:r>
        <w:t xml:space="preserve">| 2020 | I-декада марта II-декада мая | II-декада мая II-декада октября | II-декада октября II-декада ноября | III-декада ноября I-декада марта |</w:t>
      </w:r>
    </w:p>
    <w:p>
      <w:r>
        <w:t xml:space="preserve">| 2021 | II-декада марта II-декада мая | II-декада мая II-декада октября | II-декада октября II-декада ноября | III-декада ноября I-декада марта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