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предоставления коммунальных услуг в Темирском района</w:t>
      </w:r>
    </w:p>
    <w:p>
      <w:r>
        <w:t xml:space="preserve">Постановление. Акимат Темирского района. от 28.10.2021. № 159932. редакция от 20.01.2022</w:t>
      </w:r>
    </w:p>
    <w:p>
      <w:pPr>
        <w:pStyle w:val="Heading2"/>
      </w:pPr>
      <w:r>
        <w:t xml:space="preserve">Текст</w:t>
      </w:r>
    </w:p>
    <w:p>
      <w:r>
        <w:t xml:space="preserve">В соответствии с пунктом 2 статьи 31 Закона Республики Казахстан от 23 января 2001 года "О местном государственном управлении и самоуправлении в Республике Казахстан", подпунктом 16) пункта 2 статьи 10-3 Закона Республики Казахстан от 16 апреля 1997 года "О жилищных отношениях" акимат Темирского района ПОСТАНОВЛЯЕТ:</w:t>
      </w:r>
    </w:p>
    <w:p>
      <w:pPr>
        <w:pStyle w:val="Heading2"/>
      </w:pPr>
      <w:r>
        <w:t xml:space="preserve">Пункт 1</w:t>
      </w:r>
    </w:p>
    <w:p>
      <w:r>
        <w:t xml:space="preserve">1. Утвердить прилагаемые Правила предоставления коммунальных услуг в Темирском районе .</w:t>
      </w:r>
    </w:p>
    <w:p>
      <w:pPr>
        <w:pStyle w:val="Heading2"/>
      </w:pPr>
      <w:r>
        <w:t xml:space="preserve">Пункт 2</w:t>
      </w:r>
    </w:p>
    <w:p>
      <w:r>
        <w:t xml:space="preserve">2. Государственному учреждению "Темирский районный отдел жилищно коммунального-хозяйства, пассажирского транспорта и автомобильных дорог" в установленном законодательством порядке обеспечить:</w:t>
      </w:r>
    </w:p>
    <w:p>
      <w:pPr>
        <w:pStyle w:val="Heading2"/>
      </w:pPr>
      <w:r>
        <w:t xml:space="preserve">Подпункт 1</w:t>
      </w:r>
    </w:p>
    <w:p>
      <w:r>
        <w:t xml:space="preserve">1) размещение настоящего постановления на интернет-ресурсеакимата Темирского района, после его официального опубликования.</w:t>
      </w:r>
    </w:p>
    <w:p>
      <w:pPr>
        <w:pStyle w:val="Heading2"/>
      </w:pPr>
      <w:r>
        <w:t xml:space="preserve">Пункт 3</w:t>
      </w:r>
    </w:p>
    <w:p>
      <w:r>
        <w:t xml:space="preserve">3. Контроль за исполнением настоящего постановления возложить на курирующего заместителя акима Темирского района.</w:t>
      </w:r>
    </w:p>
    <w:p>
      <w:pPr>
        <w:pStyle w:val="Heading2"/>
      </w:pPr>
      <w:r>
        <w:t xml:space="preserve">Пункт 4</w:t>
      </w:r>
    </w:p>
    <w:p>
      <w:r>
        <w:t xml:space="preserve">4. Настоящее постановление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акима Темирского района | Ж. Койшыбаев |</w:t>
      </w:r>
    </w:p>
    <w:p>
      <w:r>
        <w:t xml:space="preserve">|---|---|</w:t>
      </w:r>
    </w:p>
    <w:p>
      <w:r>
        <w:t xml:space="preserve">|  | Приложение к постановлению акимата Темирского района от 28 октября 2021 года № 222 |</w:t>
      </w:r>
    </w:p>
    <w:p>
      <w:r>
        <w:t xml:space="preserve">|---|---|</w:t>
      </w:r>
    </w:p>
    <w:p>
      <w:pPr>
        <w:pStyle w:val="Heading2"/>
      </w:pPr>
      <w:r>
        <w:t xml:space="preserve">Глава Правила предоставления коммунальных услуг в Темирском районе</w:t>
      </w:r>
    </w:p>
    <w:p>
      <w:pPr>
        <w:pStyle w:val="Heading2"/>
      </w:pPr>
      <w:r>
        <w:t xml:space="preserve">Текст</w:t>
      </w:r>
    </w:p>
    <w:p>
      <w:r>
        <w:t xml:space="preserve">Сноска. Приложение – в редакции постановления акимата Темирского района Актюбинской области от 20.01.2022</w:t>
      </w:r>
    </w:p>
    <w:p>
      <w:pPr>
        <w:pStyle w:val="Heading2"/>
      </w:pPr>
      <w:r>
        <w:t xml:space="preserve">Глава 1 Общие положения</w:t>
      </w:r>
    </w:p>
    <w:p>
      <w:pPr>
        <w:pStyle w:val="Heading2"/>
      </w:pPr>
      <w:r>
        <w:t xml:space="preserve">Пункт 1</w:t>
      </w:r>
    </w:p>
    <w:p>
      <w:r>
        <w:t xml:space="preserve">1. Настоящие правила предоставления коммунальных услуг в Темирском районе (далее – Правила) разработаны в соответствии с подпунктом 16) пункта 2 статьи 10-3 Закона Республики Казахстан "О жилищных отношениях", а также Типовыми правилами предоставления коммунальных услуг, утвержденными приказом исполняющего обязанности Министра индустрии и инфраструктурного развития Республики Казахстан от 29 апреля 2020 года № 249 (зарегистрированное в Реестре государственной регистрации нормативных правовых актов № 20542), и устанавливают порядок предоставления и оплаты коммунальных услуг.</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p>
      <w:pPr>
        <w:pStyle w:val="Heading2"/>
      </w:pPr>
      <w:r>
        <w:t xml:space="preserve">Подпункт 2</w:t>
      </w:r>
    </w:p>
    <w:p>
      <w:r>
        <w:t xml:space="preserve">2)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p>
      <w:pPr>
        <w:pStyle w:val="Heading2"/>
      </w:pPr>
      <w:r>
        <w:t xml:space="preserve">Подпункт 3</w:t>
      </w:r>
    </w:p>
    <w:p>
      <w:r>
        <w:t xml:space="preserve">3)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p>
      <w:pPr>
        <w:pStyle w:val="Heading2"/>
      </w:pPr>
      <w:r>
        <w:t xml:space="preserve">Подпункт 4</w:t>
      </w:r>
    </w:p>
    <w:p>
      <w:r>
        <w:t xml:space="preserve">4) теплоснабжение – деятельность по производству, передаче, распределению и продаже потребителям тепловой энергии и (или) теплоносителя;</w:t>
      </w:r>
    </w:p>
    <w:p>
      <w:pPr>
        <w:pStyle w:val="Heading2"/>
      </w:pPr>
      <w:r>
        <w:t xml:space="preserve">Подпункт 5</w:t>
      </w:r>
    </w:p>
    <w:p>
      <w:r>
        <w:t xml:space="preserve">5) коммунальные услуги – услуги, предоставляемые потребителю, включающие водоснабжение, водоотведение, газоснабжение, электроснабжение, теплоснабжение, сбор, вывоз, утилизация, переработка и захоронение твердых бытовых отходов, обслуживание лифтов, для обеспечения безопасных и комфортных условий проживания (пребывания);</w:t>
      </w:r>
    </w:p>
    <w:p>
      <w:pPr>
        <w:pStyle w:val="Heading2"/>
      </w:pPr>
      <w:r>
        <w:t xml:space="preserve">Подпункт 6</w:t>
      </w:r>
    </w:p>
    <w:p>
      <w:r>
        <w:t xml:space="preserve">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p>
      <w:pPr>
        <w:pStyle w:val="Heading2"/>
      </w:pPr>
      <w:r>
        <w:t xml:space="preserve">Подпункт 7</w:t>
      </w:r>
    </w:p>
    <w:p>
      <w:r>
        <w:t xml:space="preserve">7) объект кондоминиума – единый имущественный комплекс, состоящий из квартир, нежилых помещений,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p>
      <w:pPr>
        <w:pStyle w:val="Heading2"/>
      </w:pPr>
      <w:r>
        <w:t xml:space="preserve">Подпункт 8</w:t>
      </w:r>
    </w:p>
    <w:p>
      <w:r>
        <w:t xml:space="preserve">8)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находящихся в индивидуальной (раздельной) собственности;</w:t>
      </w:r>
    </w:p>
    <w:p>
      <w:pPr>
        <w:pStyle w:val="Heading2"/>
      </w:pPr>
      <w:r>
        <w:t xml:space="preserve">Подпункт 9</w:t>
      </w:r>
    </w:p>
    <w:p>
      <w:r>
        <w:t xml:space="preserve">9) лифт – стационарный грузоподъемный механизм периодического действия, предназначенный для подъема и спуска людей и (или) грузов в кабине, движущейся по жестким прямолинейным направляющим, у которых угол наклона к вертикали не более 15;</w:t>
      </w:r>
    </w:p>
    <w:p>
      <w:pPr>
        <w:pStyle w:val="Heading2"/>
      </w:pPr>
      <w:r>
        <w:t xml:space="preserve">Подпункт 10</w:t>
      </w:r>
    </w:p>
    <w:p>
      <w:r>
        <w:t xml:space="preserve">10)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p>
      <w:pPr>
        <w:pStyle w:val="Heading2"/>
      </w:pPr>
      <w:r>
        <w:t xml:space="preserve">Подпункт 11</w:t>
      </w:r>
    </w:p>
    <w:p>
      <w:r>
        <w:t xml:space="preserve">11)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p>
      <w:pPr>
        <w:pStyle w:val="Heading2"/>
      </w:pPr>
      <w:r>
        <w:t xml:space="preserve">Подпункт 12</w:t>
      </w:r>
    </w:p>
    <w:p>
      <w:r>
        <w:t xml:space="preserve">12) 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 местности;</w:t>
      </w:r>
    </w:p>
    <w:p>
      <w:pPr>
        <w:pStyle w:val="Heading2"/>
      </w:pPr>
      <w:r>
        <w:t xml:space="preserve">Подпункт 13</w:t>
      </w:r>
    </w:p>
    <w:p>
      <w:r>
        <w:t xml:space="preserve">13) водоснабжение – совокупность мероприятий, обеспечивающих забор, хранение, подготовку, подачу и распределение воды через системы водоснабжения водопотребителям;</w:t>
      </w:r>
    </w:p>
    <w:p>
      <w:pPr>
        <w:pStyle w:val="Heading2"/>
      </w:pPr>
      <w:r>
        <w:t xml:space="preserve">Подпункт 14</w:t>
      </w:r>
    </w:p>
    <w:p>
      <w:r>
        <w:t xml:space="preserve">14)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p>
      <w:pPr>
        <w:pStyle w:val="Heading2"/>
      </w:pPr>
      <w:r>
        <w:t xml:space="preserve">Подпункт 15</w:t>
      </w:r>
    </w:p>
    <w:p>
      <w:r>
        <w:t xml:space="preserve">15)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p>
      <w:pPr>
        <w:pStyle w:val="Heading2"/>
      </w:pPr>
      <w:r>
        <w:t xml:space="preserve">Подпункт 16</w:t>
      </w:r>
    </w:p>
    <w:p>
      <w:r>
        <w:t xml:space="preserve">16) твердые бытовые отходы – коммунальные отходы в твердой форме;</w:t>
      </w:r>
    </w:p>
    <w:p>
      <w:pPr>
        <w:pStyle w:val="Heading2"/>
      </w:pPr>
      <w:r>
        <w:t xml:space="preserve">Подпункт 17</w:t>
      </w:r>
    </w:p>
    <w:p>
      <w:r>
        <w:t xml:space="preserve">17)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p>
      <w:pPr>
        <w:pStyle w:val="Heading2"/>
      </w:pPr>
      <w:r>
        <w:t xml:space="preserve">Подпункт 18</w:t>
      </w:r>
    </w:p>
    <w:p>
      <w:r>
        <w:t xml:space="preserve">18) потребитель – физическое или юридическое лицо, пользующееся или намеревающееся пользоваться коммунальными услугами;</w:t>
      </w:r>
    </w:p>
    <w:p>
      <w:pPr>
        <w:pStyle w:val="Heading2"/>
      </w:pPr>
      <w:r>
        <w:t xml:space="preserve">Подпункт 19</w:t>
      </w:r>
    </w:p>
    <w:p>
      <w:r>
        <w:t xml:space="preserve">19)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p>
      <w:pPr>
        <w:pStyle w:val="Heading2"/>
      </w:pPr>
      <w:r>
        <w:t xml:space="preserve">Подпункт 20</w:t>
      </w:r>
    </w:p>
    <w:p>
      <w:r>
        <w:t xml:space="preserve">20)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находящиеся в многоквартирном жилом доме за пределами или внутри квартиры, нежилого помещения и обслуживающие две (два) и более квартиры, нежилого помещения;</w:t>
      </w:r>
    </w:p>
    <w:p>
      <w:pPr>
        <w:pStyle w:val="Heading2"/>
      </w:pPr>
      <w:r>
        <w:t xml:space="preserve">Подпункт 21</w:t>
      </w:r>
    </w:p>
    <w:p>
      <w:r>
        <w:t xml:space="preserve">21) электроснабжение – деятельность по производству, передаче и продаже потребителям электрической энергии;</w:t>
      </w:r>
    </w:p>
    <w:p>
      <w:pPr>
        <w:pStyle w:val="Heading2"/>
      </w:pPr>
      <w:r>
        <w:t xml:space="preserve">Глава 2 Порядок и условия предоставления коммунальных услуг</w:t>
      </w:r>
    </w:p>
    <w:p>
      <w:pPr>
        <w:pStyle w:val="Heading2"/>
      </w:pPr>
      <w:r>
        <w:t xml:space="preserve">Пункт 3</w:t>
      </w:r>
    </w:p>
    <w:p>
      <w:r>
        <w:t xml:space="preserve">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p>
      <w:r>
        <w:t xml:space="preserve">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p>
      <w:pPr>
        <w:pStyle w:val="Heading2"/>
      </w:pPr>
      <w:r>
        <w:t xml:space="preserve">Пункт 4</w:t>
      </w:r>
    </w:p>
    <w:p>
      <w:r>
        <w:t xml:space="preserve">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p>
      <w:r>
        <w:t xml:space="preserve">С организациями, предоставляющими коммунальные услуги заключаются договора сотрудничества между объединением собственников имущества или простым товариществом, или управляющим многоквартирным жилым домом, или управляющей компанией.</w:t>
      </w:r>
    </w:p>
    <w:p>
      <w:r>
        <w:t xml:space="preserve">С субъектами сервисной деятельности заключаются договора сотрудничества с объединением собственников имущества или простым товариществом, или управляющим многоквартирным жилым домом, или управляющей компанией.</w:t>
      </w:r>
    </w:p>
    <w:p>
      <w:r>
        <w:t xml:space="preserve">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p>
      <w:pPr>
        <w:pStyle w:val="Heading2"/>
      </w:pPr>
      <w:r>
        <w:t xml:space="preserve">Пункт 5</w:t>
      </w:r>
    </w:p>
    <w:p>
      <w:r>
        <w:t xml:space="preserve">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p>
      <w:pPr>
        <w:pStyle w:val="Heading2"/>
      </w:pPr>
      <w:r>
        <w:t xml:space="preserve">Пункт 6</w:t>
      </w:r>
    </w:p>
    <w:p>
      <w:r>
        <w:t xml:space="preserve">6. Потребительские свойства и режим предоставления услуг:</w:t>
      </w:r>
    </w:p>
    <w:p>
      <w:pPr>
        <w:pStyle w:val="Heading2"/>
      </w:pPr>
      <w:r>
        <w:t xml:space="preserve">Подпункт 1</w:t>
      </w:r>
    </w:p>
    <w:p>
      <w:r>
        <w:t xml:space="preserve">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p>
      <w:pPr>
        <w:pStyle w:val="Heading2"/>
      </w:pPr>
      <w:r>
        <w:t xml:space="preserve">Подпункт 2</w:t>
      </w:r>
    </w:p>
    <w:p>
      <w:r>
        <w:t xml:space="preserve">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p>
      <w:pPr>
        <w:pStyle w:val="Heading2"/>
      </w:pPr>
      <w:r>
        <w:t xml:space="preserve">Подпункт 3</w:t>
      </w:r>
    </w:p>
    <w:p>
      <w:r>
        <w:t xml:space="preserve">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p>
      <w:pPr>
        <w:pStyle w:val="Heading2"/>
      </w:pPr>
      <w:r>
        <w:t xml:space="preserve">Подпункт 4</w:t>
      </w:r>
    </w:p>
    <w:p>
      <w:r>
        <w:t xml:space="preserve">4) водоотведения – обеспечение полного отведения сточных вод в системы водоотведения – круглосуточно в течение года;</w:t>
      </w:r>
    </w:p>
    <w:p>
      <w:pPr>
        <w:pStyle w:val="Heading2"/>
      </w:pPr>
      <w:r>
        <w:t xml:space="preserve">Подпункт 5</w:t>
      </w:r>
    </w:p>
    <w:p>
      <w:r>
        <w:t xml:space="preserve">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p>
      <w:pPr>
        <w:pStyle w:val="Heading2"/>
      </w:pPr>
      <w:r>
        <w:t xml:space="preserve">Подпункт 6</w:t>
      </w:r>
    </w:p>
    <w:p>
      <w:r>
        <w:t xml:space="preserve">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p>
      <w:pPr>
        <w:pStyle w:val="Heading2"/>
      </w:pPr>
      <w:r>
        <w:t xml:space="preserve">Подпункт 7</w:t>
      </w:r>
    </w:p>
    <w:p>
      <w:r>
        <w:t xml:space="preserve">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p>
      <w:pPr>
        <w:pStyle w:val="Heading2"/>
      </w:pPr>
      <w:r>
        <w:t xml:space="preserve">Глава 3 Порядок регулирования процесса пользования и предоставления коммунальных услуг</w:t>
      </w:r>
    </w:p>
    <w:p>
      <w:pPr>
        <w:pStyle w:val="Heading2"/>
      </w:pPr>
      <w:r>
        <w:t xml:space="preserve">Пункт 7</w:t>
      </w:r>
    </w:p>
    <w:p>
      <w:r>
        <w:t xml:space="preserve">7.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заключает договора с субъектом сервисной деятельности.</w:t>
      </w:r>
    </w:p>
    <w:p>
      <w:r>
        <w:t xml:space="preserve">Если договора с субъектом сервисной деятельности отсутствуют,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обеспечивает содержание в надлежащем техническом состоянии и безопасность общедомовых инженерных систем, систем теплопотребления, а также общедомовых приборов учета.</w:t>
      </w:r>
    </w:p>
    <w:p>
      <w:pPr>
        <w:pStyle w:val="Heading2"/>
      </w:pPr>
      <w:r>
        <w:t xml:space="preserve">Пункт 8</w:t>
      </w:r>
    </w:p>
    <w:p>
      <w:r>
        <w:t xml:space="preserve">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p>
      <w:pPr>
        <w:pStyle w:val="Heading2"/>
      </w:pPr>
      <w:r>
        <w:t xml:space="preserve">Пункт 9</w:t>
      </w:r>
    </w:p>
    <w:p>
      <w:r>
        <w:t xml:space="preserve">9.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а также субъект сервисной деятельности,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p>
      <w:pPr>
        <w:pStyle w:val="Heading2"/>
      </w:pPr>
      <w:r>
        <w:t xml:space="preserve">Пункт 10</w:t>
      </w:r>
    </w:p>
    <w:p>
      <w:r>
        <w:t xml:space="preserve">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p>
      <w:pPr>
        <w:pStyle w:val="Heading2"/>
      </w:pPr>
      <w:r>
        <w:t xml:space="preserve">Пункт 11</w:t>
      </w:r>
    </w:p>
    <w:p>
      <w:r>
        <w:t xml:space="preserve">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p>
      <w:pPr>
        <w:pStyle w:val="Heading2"/>
      </w:pPr>
      <w:r>
        <w:t xml:space="preserve">Пункт 12</w:t>
      </w:r>
    </w:p>
    <w:p>
      <w:r>
        <w:t xml:space="preserve">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p>
      <w:pPr>
        <w:pStyle w:val="Heading2"/>
      </w:pPr>
      <w:r>
        <w:t xml:space="preserve">Пункт 13</w:t>
      </w:r>
    </w:p>
    <w:p>
      <w:r>
        <w:t xml:space="preserve">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p>
      <w:pPr>
        <w:pStyle w:val="Heading2"/>
      </w:pPr>
      <w:r>
        <w:t xml:space="preserve">Пункт 14</w:t>
      </w:r>
    </w:p>
    <w:p>
      <w:r>
        <w:t xml:space="preserve">14.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подпунком 4-1) пункта 1 статьи 6 Закона Республики Казахстан "О местном государственном управлении и самоуправлении в Республике Казахстан".</w:t>
      </w:r>
    </w:p>
    <w:p>
      <w:pPr>
        <w:pStyle w:val="Heading2"/>
      </w:pPr>
      <w:r>
        <w:t xml:space="preserve">Пункт 15</w:t>
      </w:r>
    </w:p>
    <w:p>
      <w:r>
        <w:t xml:space="preserve">15.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принимает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p>
      <w:pPr>
        <w:pStyle w:val="Heading2"/>
      </w:pPr>
      <w:r>
        <w:t xml:space="preserve">Пункт 16</w:t>
      </w:r>
    </w:p>
    <w:p>
      <w:r>
        <w:t xml:space="preserve">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p>
      <w:r>
        <w:t xml:space="preserve">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r>
        <w:t xml:space="preserve">Границей раздела эксплуатационной ответственности на объектах кондоминиума являются:</w:t>
      </w:r>
    </w:p>
    <w:p>
      <w:r>
        <w:t xml:space="preserve">по водоснабжению – разделительный фланец первой задвижки на вводе водопровода в здании;</w:t>
      </w:r>
    </w:p>
    <w:p>
      <w:r>
        <w:t xml:space="preserve">по водоотведению – колодец в месте присоединения к сетям водоотведения населенного пункта;</w:t>
      </w:r>
    </w:p>
    <w:p>
      <w:r>
        <w:t xml:space="preserve">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p>
      <w:r>
        <w:t xml:space="preserve">по электроснабжению – за содержание, обслуживание и техническое состояние электроустановок напряжением до 1000 В устанавливается:</w:t>
      </w:r>
    </w:p>
    <w:p>
      <w:pPr>
        <w:pStyle w:val="Heading2"/>
      </w:pPr>
      <w:r>
        <w:t xml:space="preserve">Подпункт 1</w:t>
      </w:r>
    </w:p>
    <w:p>
      <w:r>
        <w:t xml:space="preserve">1) при воздушном ответвлении – на контактах подключения питающей линии на проходных или конечных изоляторах, установленных на опоре;</w:t>
      </w:r>
    </w:p>
    <w:p>
      <w:pPr>
        <w:pStyle w:val="Heading2"/>
      </w:pPr>
      <w:r>
        <w:t xml:space="preserve">Подпункт 2</w:t>
      </w:r>
    </w:p>
    <w:p>
      <w:r>
        <w:t xml:space="preserve">2) при кабельном вводе – на болтовых соединениях наконечников питающего кабеля на вводе в здание.</w:t>
      </w:r>
    </w:p>
    <w:p>
      <w:pPr>
        <w:pStyle w:val="Heading2"/>
      </w:pPr>
      <w:r>
        <w:t xml:space="preserve">Пункт 17</w:t>
      </w:r>
    </w:p>
    <w:p>
      <w:r>
        <w:t xml:space="preserve">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p>
      <w:pPr>
        <w:pStyle w:val="Heading2"/>
      </w:pPr>
      <w:r>
        <w:t xml:space="preserve">Пункт 18</w:t>
      </w:r>
    </w:p>
    <w:p>
      <w:r>
        <w:t xml:space="preserve">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p>
      <w:pPr>
        <w:pStyle w:val="Heading2"/>
      </w:pPr>
      <w:r>
        <w:t xml:space="preserve">Пункт 19</w:t>
      </w:r>
    </w:p>
    <w:p>
      <w:r>
        <w:t xml:space="preserve">19. Ответственность за конфиденциальность персональных данных о потребителях возлагается в соответствии с Законом Республики Казахстан "О персональных данных и их защите".</w:t>
      </w:r>
    </w:p>
    <w:p>
      <w:pPr>
        <w:pStyle w:val="Heading2"/>
      </w:pPr>
      <w:r>
        <w:t xml:space="preserve">Пункт 20</w:t>
      </w:r>
    </w:p>
    <w:p>
      <w:r>
        <w:t xml:space="preserve">20. Потребитель:</w:t>
      </w:r>
    </w:p>
    <w:p>
      <w:pPr>
        <w:pStyle w:val="Heading2"/>
      </w:pPr>
      <w:r>
        <w:t xml:space="preserve">Подпункт 1</w:t>
      </w:r>
    </w:p>
    <w:p>
      <w:r>
        <w:t xml:space="preserve">1) получает коммунальные услуги установленного качества, безопасных для его жизни и здоровья, не причиняющих вреда его имуществу;</w:t>
      </w:r>
    </w:p>
    <w:p>
      <w:pPr>
        <w:pStyle w:val="Heading2"/>
      </w:pPr>
      <w:r>
        <w:t xml:space="preserve">Подпункт 2</w:t>
      </w:r>
    </w:p>
    <w:p>
      <w:r>
        <w:t xml:space="preserve">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p>
      <w:pPr>
        <w:pStyle w:val="Heading2"/>
      </w:pPr>
      <w:r>
        <w:t xml:space="preserve">Подпункт 3</w:t>
      </w:r>
    </w:p>
    <w:p>
      <w:r>
        <w:t xml:space="preserve">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p>
      <w:pPr>
        <w:pStyle w:val="Heading2"/>
      </w:pPr>
      <w:r>
        <w:t xml:space="preserve">Подпункт 4</w:t>
      </w:r>
    </w:p>
    <w:p>
      <w:r>
        <w:t xml:space="preserve">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p>
      <w:pPr>
        <w:pStyle w:val="Heading2"/>
      </w:pPr>
      <w:r>
        <w:t xml:space="preserve">Подпункт 5</w:t>
      </w:r>
    </w:p>
    <w:p>
      <w:r>
        <w:t xml:space="preserve">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p>
      <w:pPr>
        <w:pStyle w:val="Heading2"/>
      </w:pPr>
      <w:r>
        <w:t xml:space="preserve">Подпункт 6</w:t>
      </w:r>
    </w:p>
    <w:p>
      <w:r>
        <w:t xml:space="preserve">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p>
      <w:pPr>
        <w:pStyle w:val="Heading2"/>
      </w:pPr>
      <w:r>
        <w:t xml:space="preserve">Подпункт 7</w:t>
      </w:r>
    </w:p>
    <w:p>
      <w:r>
        <w:t xml:space="preserve">7) обеспечивает доступ представителей поставщика для устранения аварий, проверки приборов учета, и снятия показаний приборов учета и контроля;</w:t>
      </w:r>
    </w:p>
    <w:p>
      <w:pPr>
        <w:pStyle w:val="Heading2"/>
      </w:pPr>
      <w:r>
        <w:t xml:space="preserve">Подпункт 8</w:t>
      </w:r>
    </w:p>
    <w:p>
      <w:r>
        <w:t xml:space="preserve">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p>
      <w:pPr>
        <w:pStyle w:val="Heading2"/>
      </w:pPr>
      <w:r>
        <w:t xml:space="preserve">Пункт 21</w:t>
      </w:r>
    </w:p>
    <w:p>
      <w:r>
        <w:t xml:space="preserve">21. Поставщик:</w:t>
      </w:r>
    </w:p>
    <w:p>
      <w:pPr>
        <w:pStyle w:val="Heading2"/>
      </w:pPr>
      <w:r>
        <w:t xml:space="preserve">Подпункт 1</w:t>
      </w:r>
    </w:p>
    <w:p>
      <w:r>
        <w:t xml:space="preserve">1) осуществляет контроль потребления и оплаты за предоставленные коммунальные услуги;</w:t>
      </w:r>
    </w:p>
    <w:p>
      <w:pPr>
        <w:pStyle w:val="Heading2"/>
      </w:pPr>
      <w:r>
        <w:t xml:space="preserve">Подпункт 2</w:t>
      </w:r>
    </w:p>
    <w:p>
      <w:r>
        <w:t xml:space="preserve">2) ежемесячно предъявляет платежный документ в бумажном или электронном виде за потребленные услуги потребителю, в том числе через третьих лиц на основании заключенных договоров, объекты информатизации в сфере жилищных отношений и жилищно-коммунального хозяйства;</w:t>
      </w:r>
    </w:p>
    <w:p>
      <w:pPr>
        <w:pStyle w:val="Heading2"/>
      </w:pPr>
      <w:r>
        <w:t xml:space="preserve">Подпункт 3</w:t>
      </w:r>
    </w:p>
    <w:p>
      <w:r>
        <w:t xml:space="preserve">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p>
      <w:pPr>
        <w:pStyle w:val="Heading2"/>
      </w:pPr>
      <w:r>
        <w:t xml:space="preserve">Подпункт 4</w:t>
      </w:r>
    </w:p>
    <w:p>
      <w:r>
        <w:t xml:space="preserve">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p>
      <w:pPr>
        <w:pStyle w:val="Heading2"/>
      </w:pPr>
      <w:r>
        <w:t xml:space="preserve">Подпункт 5</w:t>
      </w:r>
    </w:p>
    <w:p>
      <w:r>
        <w:t xml:space="preserve">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p>
      <w:pPr>
        <w:pStyle w:val="Heading2"/>
      </w:pPr>
      <w:r>
        <w:t xml:space="preserve">Подпункт 6</w:t>
      </w:r>
    </w:p>
    <w:p>
      <w:r>
        <w:t xml:space="preserve">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p>
      <w:pPr>
        <w:pStyle w:val="Heading2"/>
      </w:pPr>
      <w:r>
        <w:t xml:space="preserve">Подпункт 7</w:t>
      </w:r>
    </w:p>
    <w:p>
      <w:r>
        <w:t xml:space="preserve">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p>
      <w:pPr>
        <w:pStyle w:val="Heading2"/>
      </w:pPr>
      <w:r>
        <w:t xml:space="preserve">Подпункт 8</w:t>
      </w:r>
    </w:p>
    <w:p>
      <w:r>
        <w:t xml:space="preserve">8) не отказывает в предоставлении коммунальных услуг или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p>
      <w:pPr>
        <w:pStyle w:val="Heading2"/>
      </w:pPr>
      <w:r>
        <w:t xml:space="preserve">Подпункт 9</w:t>
      </w:r>
    </w:p>
    <w:p>
      <w:r>
        <w:t xml:space="preserve">9) не взимает с потребителя дополнительную плату за энергию и воду, отпущенную с повышенными параметрами;</w:t>
      </w:r>
    </w:p>
    <w:p>
      <w:pPr>
        <w:pStyle w:val="Heading2"/>
      </w:pPr>
      <w:r>
        <w:t xml:space="preserve">Глава 4 Порядок расчета и оплаты коммунальных услуг</w:t>
      </w:r>
    </w:p>
    <w:p>
      <w:pPr>
        <w:pStyle w:val="Heading2"/>
      </w:pPr>
      <w:r>
        <w:t xml:space="preserve">Пункт 22</w:t>
      </w:r>
    </w:p>
    <w:p>
      <w:r>
        <w:t xml:space="preserve">22. Потребитель производит оплату за коммунальные услуги по платежным документам, выписанным поставщиком.</w:t>
      </w:r>
    </w:p>
    <w:p>
      <w:pPr>
        <w:pStyle w:val="Heading2"/>
      </w:pPr>
      <w:r>
        <w:t xml:space="preserve">Пункт 23</w:t>
      </w:r>
    </w:p>
    <w:p>
      <w:r>
        <w:t xml:space="preserve">23. Прием платежей за коммунальные услуги осуществляются через собственные кассы поставщиков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p>
      <w:pPr>
        <w:pStyle w:val="Heading2"/>
      </w:pPr>
      <w:r>
        <w:t xml:space="preserve">Пункт 24</w:t>
      </w:r>
    </w:p>
    <w:p>
      <w:r>
        <w:t xml:space="preserve">24. Сроки оплаты за коммунальные услуги определяются законодательством или договором между потребителем и поставщиком.</w:t>
      </w:r>
    </w:p>
    <w:p>
      <w:pPr>
        <w:pStyle w:val="Heading2"/>
      </w:pPr>
      <w:r>
        <w:t xml:space="preserve">Пункт 25</w:t>
      </w:r>
    </w:p>
    <w:p>
      <w:r>
        <w:t xml:space="preserve">25. Снятие показаний приборов учета производится ежемесячно поставщиком или его представителем при предъявлении служебного удостоверения, либо через устройства дистанционной передачи данных.</w:t>
      </w:r>
    </w:p>
    <w:p>
      <w:pPr>
        <w:pStyle w:val="Heading2"/>
      </w:pPr>
      <w:r>
        <w:t xml:space="preserve">Пункт 26</w:t>
      </w:r>
    </w:p>
    <w:p>
      <w:r>
        <w:t xml:space="preserve">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подпунктом 10-24) статьи 10-2 Закона Республики Казахстан "О жилищных отношениях".</w:t>
      </w:r>
    </w:p>
    <w:p>
      <w:pPr>
        <w:pStyle w:val="Heading2"/>
      </w:pPr>
      <w:r>
        <w:t xml:space="preserve">Пункт 27</w:t>
      </w:r>
    </w:p>
    <w:p>
      <w:r>
        <w:t xml:space="preserve">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в соответствии с постановлением акимата Актюбинской области от 1 февраля 2017 года № 16 "Об утверждении норм потребления коммунальных услуг по газоснабжению, электроснабжению, водоснабжению, водоотведению и теплоснабжению для потребителей, не имеющих приборов учета в Актюбинской области (зарегистрированное в реестре государственной регистрации нормативных правовых актов за № 110270).</w:t>
      </w:r>
    </w:p>
    <w:p>
      <w:pPr>
        <w:pStyle w:val="Heading2"/>
      </w:pPr>
      <w:r>
        <w:t xml:space="preserve">Пункт 28</w:t>
      </w:r>
    </w:p>
    <w:p>
      <w:r>
        <w:t xml:space="preserve">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p>
      <w:pPr>
        <w:pStyle w:val="Heading2"/>
      </w:pPr>
      <w:r>
        <w:t xml:space="preserve">Пункт 29</w:t>
      </w:r>
    </w:p>
    <w:p>
      <w:r>
        <w:t xml:space="preserve">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p>
      <w:pPr>
        <w:pStyle w:val="Heading2"/>
      </w:pPr>
      <w:r>
        <w:t xml:space="preserve">Пункт 30</w:t>
      </w:r>
    </w:p>
    <w:p>
      <w:r>
        <w:t xml:space="preserve">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доверенного лица простого товарищества либо управляющего многоквартирным жилым домом или управляющей компанией или напрямую поставщику коммунальных услуг принимается на собрании собственников квартир, нежилых помещений.</w:t>
      </w:r>
    </w:p>
    <w:p>
      <w:pPr>
        <w:pStyle w:val="Heading2"/>
      </w:pPr>
      <w:r>
        <w:t xml:space="preserve">Пункт 31</w:t>
      </w:r>
    </w:p>
    <w:p>
      <w:r>
        <w:t xml:space="preserve">31. Все спорные вопросы между поставщиком и потребителем, решаются в установленном законодательством порядке.</w:t>
      </w:r>
    </w:p>
    <w:p>
      <w:pPr>
        <w:pStyle w:val="Heading2"/>
      </w:pPr>
      <w:r>
        <w:t xml:space="preserve">Глава 5 Порядок разрешения разногласий</w:t>
      </w:r>
    </w:p>
    <w:p>
      <w:pPr>
        <w:pStyle w:val="Heading2"/>
      </w:pPr>
      <w:r>
        <w:t xml:space="preserve">Пункт 32</w:t>
      </w:r>
    </w:p>
    <w:p>
      <w:r>
        <w:t xml:space="preserve">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p>
      <w:pPr>
        <w:pStyle w:val="Heading2"/>
      </w:pPr>
      <w:r>
        <w:t xml:space="preserve">Пункт 33</w:t>
      </w:r>
    </w:p>
    <w:p>
      <w:r>
        <w:t xml:space="preserve">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p>
      <w:r>
        <w:t xml:space="preserve">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p>
      <w:r>
        <w:t xml:space="preserve">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p>
      <w:pPr>
        <w:pStyle w:val="Heading2"/>
      </w:pPr>
      <w:r>
        <w:t xml:space="preserve">Пункт 34</w:t>
      </w:r>
    </w:p>
    <w:p>
      <w:r>
        <w:t xml:space="preserve">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p>
      <w:pPr>
        <w:pStyle w:val="Heading2"/>
      </w:pPr>
      <w:r>
        <w:t xml:space="preserve">Подпункт 1</w:t>
      </w:r>
    </w:p>
    <w:p>
      <w:r>
        <w:t xml:space="preserve">1) время начала отказа в коммунальных услугах (отключения) или некачественной ее поставки;</w:t>
      </w:r>
    </w:p>
    <w:p>
      <w:pPr>
        <w:pStyle w:val="Heading2"/>
      </w:pPr>
      <w:r>
        <w:t xml:space="preserve">Подпункт 2</w:t>
      </w:r>
    </w:p>
    <w:p>
      <w:r>
        <w:t xml:space="preserve">2) характер ухудшения качества коммунальных услуг;</w:t>
      </w:r>
    </w:p>
    <w:p>
      <w:pPr>
        <w:pStyle w:val="Heading2"/>
      </w:pPr>
      <w:r>
        <w:t xml:space="preserve">Подпункт 3</w:t>
      </w:r>
    </w:p>
    <w:p>
      <w:r>
        <w:t xml:space="preserve">3) время подачи заявки и ее регистрационный номер (по журналу поставщика);</w:t>
      </w:r>
    </w:p>
    <w:p>
      <w:pPr>
        <w:pStyle w:val="Heading2"/>
      </w:pPr>
      <w:r>
        <w:t xml:space="preserve">Подпункт 4</w:t>
      </w:r>
    </w:p>
    <w:p>
      <w:r>
        <w:t xml:space="preserve">4) время восстановления коммунальных услуг (нормализации ее качества);</w:t>
      </w:r>
    </w:p>
    <w:p>
      <w:pPr>
        <w:pStyle w:val="Heading2"/>
      </w:pPr>
      <w:r>
        <w:t xml:space="preserve">Подпункт 5</w:t>
      </w:r>
    </w:p>
    <w:p>
      <w:r>
        <w:t xml:space="preserve">5) период отсутствия (ухудшения качества) коммунальных услуг.</w:t>
      </w:r>
    </w:p>
    <w:p>
      <w:r>
        <w:t xml:space="preserve">Акт подписывается потребителем и не менее двух человек, в том числе: членом совета дома, председателем объединения собственников имущества или доверенным лицом простого товарищества либо управляющим многоквартирным жилым домом или управляющей компанией и направляется поставщику. В случае не урегулирования спора по согласованию сторон, потребитель имеет право обратиться в суд.</w:t>
      </w:r>
    </w:p>
    <w:p>
      <w:pPr>
        <w:pStyle w:val="Heading2"/>
      </w:pPr>
      <w:r>
        <w:t xml:space="preserve">Пункт 35</w:t>
      </w:r>
    </w:p>
    <w:p>
      <w:r>
        <w:t xml:space="preserve">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p>
      <w:r>
        <w:t xml:space="preserve">Акт считается действительным и при отказе потребителя от подписи, но при условии оформления его комиссией из не менее трех человек: представителями поставщика, совета дома и председателем объединения собственников имущества или доверенным лицом простого товарищества либо управляющим многоквартирным жилым домом или представителем управляющей компанией.</w:t>
      </w:r>
    </w:p>
    <w:p>
      <w:pPr>
        <w:pStyle w:val="Heading2"/>
      </w:pPr>
      <w:r>
        <w:t xml:space="preserve">Пункт 36</w:t>
      </w:r>
    </w:p>
    <w:p>
      <w:r>
        <w:t xml:space="preserve">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p>
      <w:r>
        <w:t xml:space="preserve">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p>
      <w:pPr>
        <w:pStyle w:val="Heading2"/>
      </w:pPr>
      <w:r>
        <w:t xml:space="preserve">Глава 6 Заключительные положения</w:t>
      </w:r>
    </w:p>
    <w:p>
      <w:pPr>
        <w:pStyle w:val="Heading2"/>
      </w:pPr>
      <w:r>
        <w:t xml:space="preserve">Пункт 37</w:t>
      </w:r>
    </w:p>
    <w:p>
      <w:r>
        <w:t xml:space="preserve">37.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p>
      <w:r>
        <w:t xml:space="preserve">Кроме настоящих Правил поставщики и потребители руководствуются нормативными документами, нормативными правовыми актами в области энергетики, теплоснабжения, водоснабжения, водоотведения, газоснабжения, сбора, вывоза, утилизации, переработки и захоронения твердых бытовых отходов, обслуживания лифтов.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